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RESPONSE TO CHAIRMAN HOECKER’S QUESTIONS BY ENRON POWER MARKETING, INC AND ENRON ENERGY SERVICES, INC (The Commenters)</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BodyTextIndent3"/>
        <w:rPr/>
      </w:pPr>
      <w:r>
        <w:rPr>
          <w:rPrChange w:id="0" w:author="Unknown" w:date="0-00-00T00:00:00Z"/>
        </w:rPr>
        <w:t>1.</w:t>
        <w:tab/>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r>
        <w:rPr>
          <w:rPrChange w:id="0" w:author="Unknown" w:date="2000-11-28T13:58:00Z"/>
        </w:rPr>
        <w:t>.</w:t>
        <w:rPrChange w:id="0" w:author="Unknown" w:date="0-00-00T00:00:00Z"/>
      </w:r>
    </w:p>
    <w:p>
      <w:pPr>
        <w:pStyle w:val="BodyTextIndent"/>
        <w:ind w:start="0" w:end="0"/>
        <w:rPr>
          <w:b w:val="false"/>
          <w:bCs/>
        </w:rPr>
      </w:pPr>
      <w:r>
        <w:rPr>
          <w:b w:val="false"/>
          <w:bCs/>
        </w:rPr>
      </w:r>
    </w:p>
    <w:p>
      <w:pPr>
        <w:pStyle w:val="BodyTextIndent"/>
        <w:rPr>
          <w:b w:val="false"/>
          <w:bCs/>
        </w:rPr>
      </w:pPr>
      <w:r>
        <w:rPr>
          <w:b w:val="false"/>
          <w:bCs/>
        </w:rPr>
      </w:r>
    </w:p>
    <w:p>
      <w:pPr>
        <w:pStyle w:val="BodyTextIndent"/>
        <w:rPr>
          <w:b w:val="false"/>
          <w:bCs/>
        </w:rPr>
      </w:pPr>
      <w:r>
        <w:rPr>
          <w:b w:val="false"/>
          <w:bCs/>
        </w:rPr>
        <w:t xml:space="preserve">The Commenters neither own nor control any generation in California. In the remainder of the WSCC, EPMI owns only a 50-MW cogenerator in Las Vegas, Nevada.  EPMI had a contract for the summer months of 2000 to sell 45 MW of its output to Nevada Power during peak hours.  </w:t>
      </w:r>
    </w:p>
    <w:p>
      <w:pPr>
        <w:pStyle w:val="BodyTextIndent"/>
        <w:rPr>
          <w:b w:val="false"/>
          <w:bCs/>
        </w:rPr>
      </w:pPr>
      <w:r>
        <w:rPr>
          <w:b w:val="false"/>
          <w:bCs/>
        </w:rPr>
      </w:r>
    </w:p>
    <w:p>
      <w:pPr>
        <w:pStyle w:val="BodyTextIndent"/>
        <w:rPr>
          <w:b w:val="false"/>
          <w:bCs/>
        </w:rPr>
      </w:pPr>
      <w:r>
        <w:rPr>
          <w:b w:val="false"/>
          <w:bCs/>
        </w:rPr>
        <w:t>Generators and marketers that supply California operate in the interconnected Western Systems Coordinating Council (WSCC).  Market prices prevalent in the WSCC outside of California reflect the opportunity cost of serving the California market. The Commenters, which own little generation in the West, evaluate these opportunity costs in deciding where to sell any excess supplies they may have available from time to time through trading activities.</w:t>
      </w:r>
    </w:p>
    <w:p>
      <w:pPr>
        <w:pStyle w:val="BodyTextIndent"/>
        <w:ind w:start="0" w:end="0"/>
        <w:rPr>
          <w:b w:val="false"/>
          <w:bCs/>
        </w:rPr>
      </w:pPr>
      <w:r>
        <w:rPr>
          <w:b w:val="false"/>
          <w:bCs/>
        </w:rPr>
      </w:r>
    </w:p>
    <w:p>
      <w:pPr>
        <w:pStyle w:val="BodyTextIndent"/>
        <w:rPr>
          <w:b w:val="false"/>
          <w:bCs/>
        </w:rPr>
      </w:pPr>
      <w:r>
        <w:rPr>
          <w:b w:val="false"/>
          <w:bCs/>
        </w:rPr>
        <w:t>In fact, the large majority of sales to California PX and ISO markets are based upon the opportunity cost of selling into various WSCC markets. These markets are defined by:</w:t>
      </w:r>
    </w:p>
    <w:p>
      <w:pPr>
        <w:pStyle w:val="Normal"/>
        <w:widowControl/>
        <w:tabs>
          <w:tab w:val="clear" w:pos="720"/>
          <w:tab w:val="left" w:pos="-1440" w:leader="none"/>
        </w:tabs>
        <w:ind w:start="720" w:end="0"/>
        <w:rPr>
          <w:b/>
          <w:bCs/>
          <w:sz w:val="26"/>
        </w:rPr>
      </w:pPr>
      <w:r>
        <w:rPr>
          <w:b/>
          <w:bCs/>
          <w:sz w:val="26"/>
        </w:rPr>
      </w:r>
    </w:p>
    <w:p>
      <w:pPr>
        <w:pStyle w:val="Normal"/>
        <w:widowControl/>
        <w:numPr>
          <w:ilvl w:val="0"/>
          <w:numId w:val="3"/>
        </w:numPr>
        <w:tabs>
          <w:tab w:val="clear" w:pos="720"/>
          <w:tab w:val="left" w:pos="-1440" w:leader="none"/>
        </w:tabs>
        <w:ind w:hanging="630" w:start="2160" w:end="0"/>
        <w:rPr>
          <w:bCs/>
          <w:sz w:val="26"/>
        </w:rPr>
      </w:pPr>
      <w:r>
        <w:rPr>
          <w:bCs/>
          <w:sz w:val="26"/>
        </w:rPr>
        <w:t xml:space="preserve">geography (California, Northwest/COB/Mid-Columbia, Southwest/Palo Verde/ Mead/ Four Corners), </w:t>
      </w:r>
    </w:p>
    <w:p>
      <w:pPr>
        <w:pStyle w:val="Normal"/>
        <w:widowControl/>
        <w:numPr>
          <w:ilvl w:val="0"/>
          <w:numId w:val="3"/>
        </w:numPr>
        <w:tabs>
          <w:tab w:val="clear" w:pos="720"/>
          <w:tab w:val="left" w:pos="-1440" w:leader="none"/>
        </w:tabs>
        <w:ind w:hanging="630" w:start="2160" w:end="0"/>
        <w:rPr>
          <w:bCs/>
          <w:sz w:val="26"/>
        </w:rPr>
      </w:pPr>
      <w:r>
        <w:rPr>
          <w:bCs/>
          <w:sz w:val="26"/>
        </w:rPr>
        <w:t xml:space="preserve">degree of forwardness, and </w:t>
      </w:r>
    </w:p>
    <w:p>
      <w:pPr>
        <w:pStyle w:val="Normal"/>
        <w:widowControl/>
        <w:numPr>
          <w:ilvl w:val="0"/>
          <w:numId w:val="3"/>
        </w:numPr>
        <w:tabs>
          <w:tab w:val="clear" w:pos="720"/>
          <w:tab w:val="left" w:pos="-1440" w:leader="none"/>
        </w:tabs>
        <w:ind w:hanging="630" w:start="2160" w:end="0"/>
        <w:rPr>
          <w:bCs/>
          <w:sz w:val="26"/>
        </w:rPr>
      </w:pPr>
      <w:r>
        <w:rPr>
          <w:bCs/>
          <w:sz w:val="26"/>
        </w:rPr>
        <w:t>choice of available market (energy limited resource)</w:t>
      </w:r>
    </w:p>
    <w:p>
      <w:pPr>
        <w:pStyle w:val="Normal"/>
        <w:widowControl/>
        <w:tabs>
          <w:tab w:val="clear" w:pos="720"/>
          <w:tab w:val="left" w:pos="-1440" w:leader="none"/>
        </w:tabs>
        <w:ind w:start="2160" w:end="0"/>
        <w:rPr>
          <w:bCs/>
          <w:sz w:val="26"/>
        </w:rPr>
      </w:pPr>
      <w:r>
        <w:rPr>
          <w:bCs/>
          <w:sz w:val="26"/>
        </w:rPr>
        <w:t>(See Comnes Affidavit p. 24-25)</w:t>
      </w:r>
    </w:p>
    <w:p>
      <w:pPr>
        <w:pStyle w:val="Normal"/>
        <w:widowControl/>
        <w:tabs>
          <w:tab w:val="clear" w:pos="720"/>
          <w:tab w:val="left" w:pos="-1440" w:leader="none"/>
        </w:tabs>
        <w:rPr>
          <w:bCs/>
          <w:sz w:val="26"/>
        </w:rPr>
      </w:pPr>
      <w:r>
        <w:rPr>
          <w:bCs/>
          <w:sz w:val="26"/>
        </w:rPr>
      </w:r>
    </w:p>
    <w:p>
      <w:pPr>
        <w:pStyle w:val="BodyTextIndent"/>
        <w:rPr>
          <w:b w:val="false"/>
          <w:bCs/>
        </w:rPr>
      </w:pPr>
      <w:r>
        <w:rPr>
          <w:b w:val="false"/>
          <w:bCs/>
        </w:rPr>
        <w:t>Prices in these various WSCC markets do in fact move together and can be supported by facts such as market index prices at various locations around the WSCC for like products delivered during the same time periods</w:t>
      </w:r>
      <w:r>
        <w:rPr/>
        <w:t xml:space="preserve">. </w:t>
      </w:r>
      <w:r>
        <w:rPr>
          <w:b w:val="false"/>
        </w:rPr>
        <w:t xml:space="preserve"> The data shown in Tables _____ provide a comparison of the primary WSCC marketing points and the PX and ISO market clearing prices for the same day.  </w:t>
      </w:r>
    </w:p>
    <w:p>
      <w:pPr>
        <w:pStyle w:val="BodyTextIndent"/>
        <w:rPr>
          <w:b w:val="false"/>
          <w:bCs/>
        </w:rPr>
      </w:pPr>
      <w:r>
        <w:rPr>
          <w:b w:val="false"/>
          <w:bCs/>
        </w:rPr>
      </w:r>
    </w:p>
    <w:p>
      <w:pPr>
        <w:pStyle w:val="BodyTextIndent"/>
        <w:rPr>
          <w:b w:val="false"/>
        </w:rPr>
      </w:pPr>
      <w:r>
        <w:rPr>
          <w:b w:val="false"/>
          <w:bCs/>
        </w:rPr>
        <w:t>Because the Commenters own no generation in California, they can offer no data about the actual costs of production or the factors affecting the costs of peaking units.  The Commenters have, however, evaluated the general unit costs and believe that the Staff’s report has adequately captured those costs. Also, see pp. 11-16 of the Comnes Affidavit attached to the Commenters November 22 Filing that documents the current cost of building a peaking resource in California.  Even at recent prices and a price cap in the $750/$500/$250 level, prices were insufficient to support recovery of peaking unit costs. The Commenters note that, since the Staff’s report, the price of natural gas in California has been extremely volatile, currently hovering between $12 and $15 per Btu.</w:t>
      </w:r>
    </w:p>
    <w:p>
      <w:pPr>
        <w:pStyle w:val="Normal"/>
        <w:widowControl/>
        <w:ind w:firstLine="1440" w:start="720" w:end="0"/>
        <w:rPr>
          <w:b/>
          <w:sz w:val="26"/>
        </w:rPr>
      </w:pPr>
      <w:r>
        <w:rPr>
          <w:b/>
          <w:sz w:val="26"/>
        </w:rPr>
      </w:r>
    </w:p>
    <w:p>
      <w:pPr>
        <w:pStyle w:val="Normal"/>
        <w:widowControl/>
        <w:ind w:firstLine="1440" w:start="720" w:end="0"/>
        <w:rPr>
          <w:sz w:val="26"/>
        </w:rPr>
      </w:pPr>
      <w:r>
        <w:rPr>
          <w:sz w:val="26"/>
        </w:rPr>
      </w:r>
    </w:p>
    <w:p>
      <w:pPr>
        <w:pStyle w:val="BodyTextIndent3"/>
        <w:rPr/>
      </w:pPr>
      <w:r>
        <w:rPr>
          <w:rPrChange w:id="0" w:author="Unknown" w:date="0-00-00T00:00:00Z"/>
        </w:rPr>
        <w:t>2.</w:t>
        <w:tab/>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BodyTextIndent"/>
        <w:rPr/>
      </w:pPr>
      <w:r>
        <w:rPr/>
      </w:r>
    </w:p>
    <w:p>
      <w:pPr>
        <w:pStyle w:val="BodyTextIndent"/>
        <w:rPr>
          <w:b w:val="false"/>
          <w:bCs/>
        </w:rPr>
      </w:pPr>
      <w:r>
        <w:rPr>
          <w:b w:val="false"/>
          <w:bCs/>
        </w:rPr>
        <w:t>The Commenters are unable to answer this question because they have found no copy of this chart in the record for this case.</w:t>
      </w:r>
    </w:p>
    <w:p>
      <w:pPr>
        <w:pStyle w:val="Normal"/>
        <w:widowControl/>
        <w:rPr>
          <w:b/>
          <w:bCs/>
          <w:sz w:val="26"/>
        </w:rPr>
      </w:pPr>
      <w:r>
        <w:rPr>
          <w:b/>
          <w:bCs/>
          <w:sz w:val="26"/>
        </w:rPr>
      </w:r>
    </w:p>
    <w:p>
      <w:pPr>
        <w:pStyle w:val="Normal"/>
        <w:widowControl/>
        <w:rPr>
          <w:sz w:val="26"/>
        </w:rPr>
      </w:pPr>
      <w:r>
        <w:rPr>
          <w:sz w:val="26"/>
        </w:rPr>
      </w:r>
    </w:p>
    <w:p>
      <w:pPr>
        <w:pStyle w:val="BodyTextIndent3"/>
        <w:rPr/>
      </w:pPr>
      <w:r>
        <w:rPr>
          <w:rPrChange w:id="0" w:author="Unknown" w:date="0-00-00T00:00:00Z"/>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 (California Public Utility Commission, California Electricity Oversight Board, other stakeholders)</w:t>
      </w:r>
    </w:p>
    <w:p>
      <w:pPr>
        <w:pStyle w:val="Normal"/>
        <w:widowControl/>
        <w:ind w:start="630" w:end="0"/>
        <w:rPr>
          <w:b/>
          <w:sz w:val="26"/>
        </w:rPr>
      </w:pPr>
      <w:r>
        <w:rPr>
          <w:b/>
          <w:sz w:val="26"/>
        </w:rPr>
      </w:r>
    </w:p>
    <w:p>
      <w:pPr>
        <w:pStyle w:val="Normal"/>
        <w:widowControl/>
        <w:ind w:start="630" w:end="0"/>
        <w:rPr>
          <w:bCs/>
          <w:sz w:val="26"/>
        </w:rPr>
      </w:pPr>
      <w:r>
        <w:rPr>
          <w:bCs/>
          <w:sz w:val="26"/>
        </w:rPr>
        <w:t>The Commenters believe that no governmental authorities, other then the Commission should have a role in selecting the new ISO Board. The ISO operates a transmission system that functions as part of an interstate grid, making the California ISO, its decision and actions completely subject to this Commission’s jurisdiction. The Commenters have endorsed the Commission’s proposal in their November 22 comments, provided that the governmental agencies represented on the current Board do not act to circumvent this Commission’s authority and jurisdiction. The Commenters also support WPTF’s comments on this topic (cite to be provided)</w:t>
      </w:r>
    </w:p>
    <w:p>
      <w:pPr>
        <w:pStyle w:val="Normal"/>
        <w:widowControl/>
        <w:ind w:start="630" w:end="0"/>
        <w:rPr>
          <w:b/>
          <w:bCs/>
          <w:sz w:val="26"/>
        </w:rPr>
      </w:pPr>
      <w:r>
        <w:rPr>
          <w:b/>
          <w:bCs/>
          <w:sz w:val="26"/>
        </w:rPr>
      </w:r>
    </w:p>
    <w:p>
      <w:pPr>
        <w:pStyle w:val="BodyTextIndent3"/>
        <w:rPr/>
      </w:pPr>
      <w:r>
        <w:rPr>
          <w:rPrChange w:id="0" w:author="Unknown" w:date="0-00-00T00:00:00Z"/>
        </w:rPr>
        <w:t>4.</w:t>
        <w:tab/>
        <w:t>If the Commission were to order refund of excessive rates as a matter of law or equity, how would we determine the excess in a market-based rate environment?  What would be the just and reasonable rate?  For what period would the determination of overcharges apply?  Who would be responsible for refunding overcharges? (All panelists)</w:t>
      </w:r>
    </w:p>
    <w:p>
      <w:pPr>
        <w:pStyle w:val="Normal"/>
        <w:widowControl/>
        <w:rPr>
          <w:sz w:val="26"/>
        </w:rPr>
      </w:pPr>
      <w:r>
        <w:rPr>
          <w:sz w:val="26"/>
        </w:rPr>
      </w:r>
    </w:p>
    <w:p>
      <w:pPr>
        <w:pStyle w:val="BodyTextIndent2"/>
        <w:rPr>
          <w:b w:val="false"/>
          <w:bCs/>
        </w:rPr>
      </w:pPr>
      <w:r>
        <w:rPr>
          <w:b w:val="false"/>
          <w:bCs/>
        </w:rPr>
        <w:t>As stated in their November 22 comments, the Commenters concur with this Commission’s finding that it has no legal basis for such retroactive refunds, assuming such refunds could be justified in the first place.  The issue of “equity” has no legal basis in the Federal Power Act and is a standard without meaning.  Each stakeholder has a different view of “equity”.  How could a single standard be achieved without trampling on the rights of others? And how could one calculate “excessive” rates?  Clearly, the proposals to use short-run marginal costs as a benchmark are not appropriate, as discussed in the Comnes affidavit (cite).  (RON FIX AND TO PROVIDE SOME J&amp;R STUFF)</w:t>
      </w:r>
    </w:p>
    <w:p>
      <w:pPr>
        <w:pStyle w:val="BodyTextIndent2"/>
        <w:rPr>
          <w:b w:val="false"/>
          <w:bCs/>
        </w:rPr>
      </w:pPr>
      <w:r>
        <w:rPr>
          <w:b w:val="false"/>
          <w:bCs/>
        </w:rPr>
      </w:r>
    </w:p>
    <w:p>
      <w:pPr>
        <w:pStyle w:val="Normal"/>
        <w:widowControl/>
        <w:rPr>
          <w:sz w:val="26"/>
        </w:rPr>
      </w:pPr>
      <w:r>
        <w:rPr>
          <w:sz w:val="26"/>
        </w:rPr>
      </w:r>
    </w:p>
    <w:p>
      <w:pPr>
        <w:pStyle w:val="Normal"/>
        <w:widowControl/>
        <w:rPr>
          <w:sz w:val="26"/>
        </w:rPr>
      </w:pPr>
      <w:r>
        <w:rPr>
          <w:sz w:val="26"/>
        </w:rPr>
      </w:r>
    </w:p>
    <w:p>
      <w:pPr>
        <w:pStyle w:val="Normal"/>
        <w:widowControl/>
        <w:numPr>
          <w:ilvl w:val="0"/>
          <w:numId w:val="2"/>
        </w:numPr>
        <w:tabs>
          <w:tab w:val="clear" w:pos="720"/>
          <w:tab w:val="left" w:pos="-1440" w:leader="none"/>
        </w:tabs>
        <w:rPr>
          <w:b/>
          <w:bCs/>
          <w:sz w:val="26"/>
        </w:rPr>
      </w:pPr>
      <w:r>
        <w:rPr>
          <w:b/>
          <w:bCs/>
          <w:sz w:val="26"/>
        </w:rPr>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Normal"/>
        <w:widowControl/>
        <w:tabs>
          <w:tab w:val="clear" w:pos="720"/>
          <w:tab w:val="left" w:pos="-1440" w:leader="none"/>
        </w:tabs>
        <w:rPr>
          <w:b/>
          <w:bCs/>
          <w:sz w:val="26"/>
        </w:rPr>
      </w:pPr>
      <w:r>
        <w:rPr>
          <w:b/>
          <w:bCs/>
          <w:sz w:val="26"/>
        </w:rPr>
      </w:r>
    </w:p>
    <w:p>
      <w:pPr>
        <w:pStyle w:val="Normal"/>
        <w:widowControl/>
        <w:rPr>
          <w:sz w:val="26"/>
        </w:rPr>
      </w:pPr>
      <w:r>
        <w:rPr>
          <w:sz w:val="26"/>
        </w:rPr>
      </w:r>
    </w:p>
    <w:p>
      <w:pPr>
        <w:pStyle w:val="Normal"/>
        <w:widowControl/>
        <w:ind w:start="720" w:end="0"/>
        <w:rPr>
          <w:sz w:val="26"/>
        </w:rPr>
      </w:pPr>
      <w:r>
        <w:rPr>
          <w:sz w:val="26"/>
        </w:rPr>
        <w:t>The Commenters and WPTF have sought clarification from the Commission that the refund only applies to sales above the cap in the ISO and PX short-term markets. Refer to WPTF comments.  We see no need for a ”flag,” although if future refunds are possible, the flag mechanism and process would be important to understand.</w:t>
      </w:r>
    </w:p>
    <w:p>
      <w:pPr>
        <w:pStyle w:val="Normal"/>
        <w:widowControl/>
        <w:rPr>
          <w:sz w:val="26"/>
        </w:rPr>
      </w:pPr>
      <w:r>
        <w:rPr>
          <w:sz w:val="26"/>
        </w:rPr>
      </w:r>
    </w:p>
    <w:p>
      <w:pPr>
        <w:pStyle w:val="Normal"/>
        <w:widowControl/>
        <w:rPr>
          <w:sz w:val="26"/>
        </w:rPr>
      </w:pPr>
      <w:r>
        <w:rPr>
          <w:sz w:val="26"/>
        </w:rPr>
      </w:r>
    </w:p>
    <w:p>
      <w:pPr>
        <w:pStyle w:val="Normal"/>
        <w:widowControl/>
        <w:numPr>
          <w:ilvl w:val="0"/>
          <w:numId w:val="2"/>
        </w:numPr>
        <w:tabs>
          <w:tab w:val="clear" w:pos="720"/>
          <w:tab w:val="left" w:pos="-1440" w:leader="none"/>
        </w:tabs>
        <w:rPr>
          <w:sz w:val="26"/>
        </w:rPr>
      </w:pPr>
      <w:r>
        <w:rPr>
          <w:b/>
          <w:bCs/>
          <w:sz w:val="26"/>
        </w:rPr>
        <w:t>Some suppliers point out that peaking units are used rarely and have very high costs. How do we structure market rules so that these generators can recover their costs, but prices of all generation are not inflated to the same level. (All panelists</w:t>
      </w:r>
      <w:r>
        <w:rPr>
          <w:sz w:val="26"/>
        </w:rPr>
        <w: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start="720" w:end="0"/>
        <w:rPr/>
      </w:pPr>
      <w:r>
        <w:rPr/>
        <w:t>The answer does not lie, as many will say, on the relative merits of pay-as-bid versus second-price auctions or even as to whether some generation resources should be based on cost-of-service rates or with price caps that differ by resource type. The answer lies in</w:t>
      </w:r>
      <w:r>
        <w:rPr>
          <w:b/>
        </w:rPr>
        <w:t xml:space="preserve"> forward contracting</w:t>
      </w:r>
      <w:r>
        <w:rPr/>
        <w:t>.  The spot market should remain unconstrained and for a perishable commodity like electricity, prices will be volatile.  There are times when spot prices will be “inflated,” as referenced in the question and there will be times when prices will be seriously deflated.  When buyers and sellers of electricity that will wish to avoid such volatility, they should seek forward markets.  See Comnes Affidavit, pp. 19-20.</w:t>
      </w:r>
    </w:p>
    <w:p>
      <w:pPr>
        <w:pStyle w:val="Normal"/>
        <w:widowControl/>
        <w:tabs>
          <w:tab w:val="clear" w:pos="720"/>
          <w:tab w:val="left" w:pos="-1440" w:leader="none"/>
        </w:tabs>
        <w:ind w:start="720" w:end="0"/>
        <w:rPr/>
      </w:pPr>
      <w:r>
        <w:rPr/>
      </w:r>
    </w:p>
    <w:p>
      <w:pPr>
        <w:pStyle w:val="Normal"/>
        <w:widowControl/>
        <w:ind w:start="720" w:end="0"/>
        <w:rPr>
          <w:b/>
          <w:sz w:val="26"/>
        </w:rPr>
      </w:pPr>
      <w:r>
        <w:rPr>
          <w:b/>
          <w:sz w:val="26"/>
        </w:rPr>
      </w:r>
    </w:p>
    <w:p>
      <w:pPr>
        <w:pStyle w:val="Normal"/>
        <w:widowControl/>
        <w:tabs>
          <w:tab w:val="clear" w:pos="720"/>
          <w:tab w:val="left" w:pos="-1440" w:leader="none"/>
        </w:tabs>
        <w:ind w:start="720" w:end="0"/>
        <w:rPr>
          <w:b/>
          <w:sz w:val="26"/>
        </w:rPr>
      </w:pPr>
      <w:r>
        <w:rPr>
          <w:b/>
          <w:sz w:val="26"/>
        </w:rPr>
      </w:r>
    </w:p>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6"/>
      </w:rPr>
      <w:t xml:space="preserve">Docket No. EL00-95-000, </w:t>
    </w:r>
    <w:r>
      <w:rPr>
        <w:sz w:val="26"/>
        <w:u w:val="single"/>
      </w:rPr>
      <w:t>et</w:t>
    </w:r>
    <w:r>
      <w:rPr>
        <w:sz w:val="26"/>
      </w:rPr>
      <w:t xml:space="preserve"> </w:t>
    </w:r>
    <w:r>
      <w:rPr>
        <w:sz w:val="26"/>
        <w:u w:val="single"/>
      </w:rPr>
      <w:t>al</w:t>
    </w:r>
    <w:r>
      <w:rPr>
        <w:sz w:val="26"/>
      </w:rPr>
      <w:t>.</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 </w:t>
                          </w:r>
                          <w:r>
                            <w:rPr/>
                            <w:fldChar w:fldCharType="begin"/>
                          </w:r>
                          <w:r>
                            <w:rPr/>
                            <w:instrText xml:space="preserve"> PAGE </w:instrText>
                          </w:r>
                          <w:r>
                            <w:rPr/>
                            <w:fldChar w:fldCharType="separate"/>
                          </w:r>
                          <w:r>
                            <w:rPr/>
                            <w:t>4</w:t>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 </w:t>
                    </w:r>
                    <w:r>
                      <w:rPr/>
                      <w:fldChar w:fldCharType="begin"/>
                    </w:r>
                    <w:r>
                      <w:rPr/>
                      <w:instrText xml:space="preserve"> PAGE </w:instrText>
                    </w:r>
                    <w:r>
                      <w:rPr/>
                      <w:fldChar w:fldCharType="separate"/>
                    </w:r>
                    <w:r>
                      <w:rPr/>
                      <w:t>4</w:t>
                    </w:r>
                    <w:r>
                      <w:rPr/>
                      <w:fldChar w:fldCharType="end"/>
                    </w:r>
                    <w:r>
                      <w:rPr/>
                      <w:t xml:space="preserve"> -</w:t>
                    </w:r>
                  </w:p>
                </w:txbxContent>
              </v:textbox>
              <w10:wrap type="topAndBottom"/>
            </v:rect>
          </w:pict>
        </mc:Fallback>
      </mc:AlternateContent>
    </w:r>
  </w:p>
  <w:p>
    <w:pPr>
      <w:pStyle w:val="Normal"/>
      <w:spacing w:lineRule="exact" w:line="240"/>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numPr>
        <w:ilvl w:val="4"/>
        <w:numId w:val="1"/>
      </w:numPr>
      <w:jc w:val="center"/>
      <w:outlineLvl w:val="4"/>
    </w:pPr>
    <w:rPr>
      <w:b/>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b/>
      <w:i w:val="false"/>
      <w:sz w:val="24"/>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b/>
      <w:bCs/>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720" w:end="0"/>
    </w:pPr>
    <w:rPr>
      <w:b/>
      <w:sz w:val="26"/>
    </w:rPr>
  </w:style>
  <w:style w:type="paragraph" w:styleId="BodyTextIndent2">
    <w:name w:val="Body Text Indent 2"/>
    <w:basedOn w:val="Normal"/>
    <w:qFormat/>
    <w:pPr>
      <w:widowControl/>
      <w:ind w:hanging="0" w:start="630" w:end="0"/>
    </w:pPr>
    <w:rPr>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tabs>
        <w:tab w:val="clear" w:pos="720"/>
        <w:tab w:val="left" w:pos="-1440" w:leader="none"/>
      </w:tabs>
      <w:ind w:hanging="720" w:start="720" w:end="0"/>
    </w:pPr>
    <w:rPr>
      <w:b/>
      <w:bCs/>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2000-11-29T03:59:00Z</dcterms:created>
  <dc:creator>gwolfe</dc:creator>
  <dc:description/>
  <dc:language>en-CA</dc:language>
  <cp:lastModifiedBy>smara</cp:lastModifiedBy>
  <dcterms:modified xsi:type="dcterms:W3CDTF">2000-11-29T03:59:00Z</dcterms:modified>
  <cp:revision>2</cp:revision>
  <dc:subject/>
  <dc:title>UNITED STATES OF AMERICA</dc:title>
</cp:coreProperties>
</file>