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FERC Proposes End To CalPX Pwr-Buy Mandate-Commissioner</w:t>
      </w:r>
      <w:r>
        <w:rPr/>
        <w:br/>
        <w:t xml:space="preserve">  </w:t>
        <w:br/>
        <w:t xml:space="preserve">10/31/2000 </w:t>
        <w:br/>
        <w:t xml:space="preserve">Dow Jones Energy Service </w:t>
        <w:br/>
        <w:t xml:space="preserve">(Copyright (c) 2000, Dow Jones &amp; Company, Inc.) </w:t>
      </w:r>
    </w:p>
    <w:p>
      <w:pPr>
        <w:pStyle w:val="NormalWeb"/>
        <w:rPr/>
      </w:pPr>
      <w:r>
        <w:rPr/>
        <w:t xml:space="preserve">NEW YORK -(Dow Jones)- An investigation by the Federal Energy Regulatory Commission into California's summer power crisis has determined that the state's requirement that utilities purchase most of their power through a state-sanctioned exchange contributed to soaring wholesale power prices this summer, FERC commissioners said Tuesday. </w:t>
      </w:r>
    </w:p>
    <w:p>
      <w:pPr>
        <w:pStyle w:val="NormalWeb"/>
        <w:rPr/>
      </w:pPr>
      <w:r>
        <w:rPr/>
        <w:t xml:space="preserve">A report on the investigation, scheduled to be released Wednesday morning, will suggest the state's mandatory buy rule should be abolished and that utilities should be allowed to purchase their power through exchanges other than the California Power Exchange, the commissioners told Dow Jones Newswires. </w:t>
      </w:r>
    </w:p>
    <w:p>
      <w:pPr>
        <w:pStyle w:val="NormalWeb"/>
        <w:rPr/>
      </w:pPr>
      <w:r>
        <w:rPr/>
        <w:t xml:space="preserve">California set up the CalPX when it moved to electricity deregulation four years ago and required the state's three investor-owned utilities - Edison International (EIX) unit Southern California Edison, PG&amp;E Corp. (PCG) unit Pacific Gas &amp; Electric Co. and Sempra Energy (SRE) unit San Diego Gas &amp; Electric Co. - to purchase 85% of their power through the exchange until 2002, the date marking the end of the transition to a completely deregulated market. </w:t>
      </w:r>
    </w:p>
    <w:p>
      <w:pPr>
        <w:pStyle w:val="NormalWeb"/>
        <w:rPr/>
      </w:pPr>
      <w:r>
        <w:rPr/>
        <w:t xml:space="preserve">SDG&amp;E complained this summer that the CalPX clearing prices were too high and caused the massive price spikes seen this summer.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Jason Leopold; Dow Jones Newswires; 323-658-3874;</w:t>
      </w:r>
    </w:p>
    <w:p>
      <w:pPr>
        <w:pStyle w:val="HTMLPreformatted"/>
        <w:rPr>
          <w:rFonts w:ascii="Lucida Console" w:hAnsi="Lucida Console" w:cs="Lucida Console"/>
          <w:sz w:val="15"/>
          <w:szCs w:val="15"/>
        </w:rPr>
      </w:pPr>
      <w:r>
        <w:rPr>
          <w:rFonts w:cs="Lucida Console" w:ascii="Lucida Console" w:hAnsi="Lucida Console"/>
          <w:sz w:val="15"/>
          <w:szCs w:val="15"/>
        </w:rPr>
        <w:t>jason.leopold@dowjones.com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140988119&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2000-10-31T14:51:00Z</dcterms:created>
  <dc:creator>mbuster</dc:creator>
  <dc:description/>
  <dc:language>en-CA</dc:language>
  <cp:lastModifiedBy>mbuster</cp:lastModifiedBy>
  <dcterms:modified xsi:type="dcterms:W3CDTF">2000-10-31T15:35:00Z</dcterms:modified>
  <cp:revision>1</cp:revision>
  <dc:subject/>
  <dc:title> </dc:title>
</cp:coreProperties>
</file>