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Description of Calculation of Charge and Payment Adjustments made</w:t>
      </w:r>
    </w:p>
    <w:p>
      <w:pPr>
        <w:pStyle w:val="Normal"/>
        <w:jc w:val="center"/>
        <w:rPr>
          <w:rFonts w:ascii="Arial" w:hAnsi="Arial" w:cs="Arial"/>
          <w:b/>
        </w:rPr>
      </w:pPr>
      <w:r>
        <w:rPr>
          <w:rFonts w:cs="Arial" w:ascii="Arial" w:hAnsi="Arial"/>
          <w:b/>
        </w:rPr>
        <w:t>Due to FERC Ordered Soft Price Cap</w:t>
      </w:r>
    </w:p>
    <w:p>
      <w:pPr>
        <w:pStyle w:val="Normal"/>
        <w:jc w:val="center"/>
        <w:rPr>
          <w:rFonts w:ascii="Arial" w:hAnsi="Arial" w:cs="Arial"/>
          <w:b/>
        </w:rPr>
      </w:pPr>
      <w:r>
        <w:rPr>
          <w:rFonts w:cs="Arial" w:ascii="Arial" w:hAnsi="Arial"/>
          <w:b/>
        </w:rPr>
      </w:r>
    </w:p>
    <w:p>
      <w:pPr>
        <w:pStyle w:val="BodyText3"/>
        <w:ind w:end="0"/>
        <w:jc w:val="both"/>
        <w:rPr/>
      </w:pPr>
      <w:r>
        <w:rPr/>
        <w:tab/>
        <w:t xml:space="preserve">In compliance with FERC order, the California Power Exchange Corporation has calculated adjustments to its hour ahead and day ahead markets for January 2001.  This document describes the process in a general manner.  Exhaustive detail can be found in the CalPX filing and FERC order on this matter.  The general concept is that when the market clearing price was above $150, sellers’ bids below $150 would be paid $150 and bids above $150 would be paid as bid.  Because this is an adjustment to the usual method of settlement, CalPX calculated these differences as adjustments to the usual invoice.  Thus, sellers see a negative adjustment to what they get paid (i.e., a refund amount), and buyers see a negative adjustment to what they have to pay.  </w:t>
      </w:r>
    </w:p>
    <w:p>
      <w:pPr>
        <w:pStyle w:val="Normal"/>
        <w:spacing w:lineRule="auto" w:line="480"/>
        <w:rPr>
          <w:rFonts w:ascii="Arial" w:hAnsi="Arial" w:cs="Arial"/>
        </w:rPr>
      </w:pPr>
      <w:r>
        <w:rPr>
          <w:rFonts w:cs="Arial" w:ascii="Arial" w:hAnsi="Arial"/>
        </w:rPr>
      </w:r>
    </w:p>
    <w:p>
      <w:pPr>
        <w:pStyle w:val="Normal"/>
        <w:spacing w:lineRule="atLeast" w:line="240"/>
        <w:jc w:val="center"/>
        <w:rPr>
          <w:rFonts w:ascii="Arial" w:hAnsi="Arial" w:cs="Arial"/>
          <w:lang w:val="en-CA"/>
        </w:rPr>
      </w:pPr>
      <w:r>
        <w:rPr>
          <w:rFonts w:cs="Arial" w:ascii="Arial" w:hAnsi="Arial"/>
          <w:lang w:val="en-CA"/>
        </w:rPr>
        <w:drawing>
          <wp:anchor behindDoc="0" distT="0" distB="0" distL="114935" distR="114935" simplePos="0" locked="0" layoutInCell="1" allowOverlap="1" relativeHeight="2">
            <wp:simplePos x="0" y="0"/>
            <wp:positionH relativeFrom="column">
              <wp:posOffset>411480</wp:posOffset>
            </wp:positionH>
            <wp:positionV relativeFrom="paragraph">
              <wp:posOffset>-258445</wp:posOffset>
            </wp:positionV>
            <wp:extent cx="5074920" cy="203009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9" r="-5" b="-9"/>
                    <a:stretch>
                      <a:fillRect/>
                    </a:stretch>
                  </pic:blipFill>
                  <pic:spPr bwMode="auto">
                    <a:xfrm>
                      <a:off x="0" y="0"/>
                      <a:ext cx="5074920" cy="2030095"/>
                    </a:xfrm>
                    <a:prstGeom prst="rect">
                      <a:avLst/>
                    </a:prstGeom>
                    <a:noFill/>
                  </pic:spPr>
                </pic:pic>
              </a:graphicData>
            </a:graphic>
          </wp:anchor>
        </w:drawing>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Normal"/>
        <w:spacing w:lineRule="atLeast" w:line="240"/>
        <w:jc w:val="center"/>
        <w:rPr>
          <w:rFonts w:ascii="Arial" w:hAnsi="Arial" w:cs="Arial"/>
        </w:rPr>
      </w:pPr>
      <w:r>
        <w:rPr>
          <w:rFonts w:cs="Arial" w:ascii="Arial" w:hAnsi="Arial"/>
        </w:rPr>
      </w:r>
    </w:p>
    <w:p>
      <w:pPr>
        <w:pStyle w:val="Caption"/>
        <w:jc w:val="center"/>
        <w:rPr/>
      </w:pPr>
      <w:r>
        <w:rPr>
          <w:rFonts w:cs="Arial" w:ascii="Arial" w:hAnsi="Arial"/>
        </w:rPr>
        <w:t xml:space="preserve">Figure </w:t>
      </w:r>
      <w:r>
        <w:rPr>
          <w:rFonts w:cs="Arial" w:ascii="Arial" w:hAnsi="Arial"/>
        </w:rPr>
        <w:fldChar w:fldCharType="begin"/>
      </w:r>
      <w:r>
        <w:rPr>
          <w:rFonts w:cs="Arial" w:ascii="Arial" w:hAnsi="Arial"/>
        </w:rPr>
        <w:instrText xml:space="preserve"> SEQ Figure \* ARABIC </w:instrText>
      </w:r>
      <w:r>
        <w:rPr>
          <w:rFonts w:cs="Arial" w:ascii="Arial" w:hAnsi="Arial"/>
        </w:rPr>
        <w:fldChar w:fldCharType="separate"/>
      </w:r>
      <w:r>
        <w:rPr>
          <w:rFonts w:cs="Arial" w:ascii="Arial" w:hAnsi="Arial"/>
        </w:rPr>
        <w:t>1</w:t>
      </w:r>
      <w:r>
        <w:rPr>
          <w:rFonts w:cs="Arial" w:ascii="Arial" w:hAnsi="Arial"/>
        </w:rPr>
        <w:fldChar w:fldCharType="end"/>
      </w:r>
      <w:r>
        <w:rPr>
          <w:rFonts w:cs="Arial" w:ascii="Arial" w:hAnsi="Arial"/>
        </w:rPr>
        <w:t>: Calculation of Pay-as-bid pricing of a CalPX supply bid</w:t>
      </w:r>
    </w:p>
    <w:p>
      <w:pPr>
        <w:pStyle w:val="Normal"/>
        <w:rPr>
          <w:rFonts w:ascii="Arial" w:hAnsi="Arial" w:cs="Arial"/>
        </w:rPr>
      </w:pPr>
      <w:r>
        <w:rPr>
          <w:rFonts w:cs="Arial" w:ascii="Arial" w:hAnsi="Arial"/>
        </w:rPr>
      </w:r>
    </w:p>
    <w:p>
      <w:pPr>
        <w:pStyle w:val="Normal"/>
        <w:spacing w:lineRule="auto" w:line="480"/>
        <w:ind w:firstLine="720" w:end="0"/>
        <w:jc w:val="both"/>
        <w:rPr>
          <w:rFonts w:ascii="Arial" w:hAnsi="Arial" w:cs="Arial"/>
        </w:rPr>
      </w:pPr>
      <w:r>
        <w:rPr>
          <w:rFonts w:cs="Arial" w:ascii="Arial" w:hAnsi="Arial"/>
        </w:rPr>
        <w:t xml:space="preserve">Conceptually, the calculation of the pay-as-bid amount for suppliers is the same for both uncongested and congested hours, and the day-ahead and hour-ahead markets.  The difference is that in uncongested hours the bid into the respective CalPX market is used, and in congested hours the adjustment bids are used.  In Figure 1, the segmented line represents an individual portfolio bid with line points representing specific price / quantity pairs.  The horizontal dotted line represents the breakpoint of $150 and the vertical line represents the specific portfolio award.  To calculate the amount paid as bid to the seller in this example it would be necessary to calculate the area bounded by the bid curve, the breakpoint and the portfolio award. </w:t>
      </w:r>
    </w:p>
    <w:p>
      <w:pPr>
        <w:pStyle w:val="Normal"/>
        <w:spacing w:lineRule="auto" w:line="480"/>
        <w:ind w:firstLine="720" w:end="0"/>
        <w:jc w:val="both"/>
        <w:rPr>
          <w:rFonts w:ascii="Arial" w:hAnsi="Arial" w:cs="Arial"/>
        </w:rPr>
      </w:pPr>
      <w:r>
        <w:rPr>
          <w:rFonts w:cs="Arial" w:ascii="Arial" w:hAnsi="Arial"/>
        </w:rPr>
        <w:t xml:space="preserve">To give an example, suppose in an uncongested hour with UMCP equal to $300, a supplier has a portfolio bid consisting of price-quantity pairs: (0,0), (600,600), (2500, 600).  The awarded quantity for that portfolio would be 300 MWh.  Under the usual calculation, the supplier would receive $90,000 (= $300/MWh*300MWh).  Under the FERC order, however, the supplier would receive 150*$150+(150*$150+.5*150*$150) = $56,250.  The “refund” from the supplier or payment adjustment is then -$33,750 = $56,250-$90,000.  For each hour all the seller refunds are added together and distributed to buyers.  </w:t>
      </w:r>
    </w:p>
    <w:p>
      <w:pPr>
        <w:pStyle w:val="Normal"/>
        <w:spacing w:lineRule="auto" w:line="480"/>
        <w:ind w:firstLine="720" w:end="0"/>
        <w:jc w:val="both"/>
        <w:rPr>
          <w:rFonts w:ascii="Arial" w:hAnsi="Arial" w:cs="Arial"/>
        </w:rPr>
      </w:pPr>
      <w:r>
        <w:rPr>
          <w:rFonts w:cs="Arial" w:ascii="Arial" w:hAnsi="Arial"/>
        </w:rPr>
        <w:t>When a seller or buyer has a block forward position, these positions are removed from the refund calculation.  For instance, if a buyer purchased 100 MWh in the day-ahead market, but also had a block forward purchase of 50 MWh, then only 50 MWh of the day-ahead purchase would be eligible to receive refunds.  Likewise, a seller with a block forward sale would have MWh equivalent to the block forward sale removed from the refund calculation.  In the example above, if the seller had a block forward sale of 150 MWh, then the refund would exclude the first 150 MWh from the refund calculation.  Thus, the seller’s refund would be .5*150*150 = $11,250.</w:t>
      </w:r>
    </w:p>
    <w:p>
      <w:pPr>
        <w:pStyle w:val="Normal"/>
        <w:spacing w:lineRule="auto" w:line="480"/>
        <w:ind w:firstLine="720" w:end="0"/>
        <w:jc w:val="both"/>
        <w:rPr>
          <w:rFonts w:ascii="Arial" w:hAnsi="Arial" w:cs="Arial"/>
        </w:rPr>
      </w:pPr>
      <w:r>
        <w:rPr>
          <w:rFonts w:cs="Arial" w:ascii="Arial" w:hAnsi="Arial"/>
        </w:rPr>
        <w:t>Please note that many of these calculations require the use of proprietary data, hence validation may not be possible for individual participants.</w:t>
      </w:r>
    </w:p>
    <w:sectPr>
      <w:headerReference w:type="default" r:id="rId3"/>
      <w:headerReference w:type="first" r:id="rId4"/>
      <w:type w:val="nextPage"/>
      <w:pgSz w:w="12240" w:h="15840"/>
      <w:pgMar w:left="1440" w:right="1440" w:gutter="0" w:header="720" w:top="1440" w:footer="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5"/>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rPr>
  </w:style>
  <w:style w:type="paragraph" w:styleId="Heading2">
    <w:name w:val="heading 2"/>
    <w:basedOn w:val="Normal"/>
    <w:next w:val="Normal"/>
    <w:qFormat/>
    <w:pPr>
      <w:keepNext w:val="true"/>
      <w:jc w:val="center"/>
      <w:outlineLvl w:val="1"/>
    </w:pPr>
    <w:rPr>
      <w:rFonts w:ascii="Arial" w:hAnsi="Arial" w:cs="Arial"/>
      <w:b/>
      <w:sz w:val="32"/>
    </w:rPr>
  </w:style>
  <w:style w:type="paragraph" w:styleId="Heading3">
    <w:name w:val="heading 3"/>
    <w:basedOn w:val="Normal"/>
    <w:next w:val="Normal"/>
    <w:qFormat/>
    <w:pPr>
      <w:keepNext w:val="true"/>
      <w:ind w:hanging="720" w:start="720" w:end="0"/>
      <w:jc w:val="both"/>
      <w:outlineLvl w:val="2"/>
    </w:pPr>
    <w:rPr>
      <w:rFonts w:ascii="Arial" w:hAnsi="Arial" w:cs="Arial"/>
      <w:b/>
      <w:smallCaps/>
    </w:rPr>
  </w:style>
  <w:style w:type="paragraph" w:styleId="Heading4">
    <w:name w:val="heading 4"/>
    <w:basedOn w:val="Normal"/>
    <w:next w:val="Normal"/>
    <w:qFormat/>
    <w:pPr>
      <w:keepNext w:val="true"/>
      <w:spacing w:lineRule="auto" w:line="480"/>
      <w:outlineLvl w:val="3"/>
    </w:pPr>
    <w:rPr>
      <w:rFonts w:ascii="Arial" w:hAnsi="Arial" w:cs="Arial"/>
      <w:b/>
    </w:rPr>
  </w:style>
  <w:style w:type="paragraph" w:styleId="Heading5">
    <w:name w:val="heading 5"/>
    <w:basedOn w:val="Normal"/>
    <w:next w:val="Normal"/>
    <w:qFormat/>
    <w:pPr>
      <w:keepNext w:val="true"/>
      <w:tabs>
        <w:tab w:val="clear" w:pos="720"/>
        <w:tab w:val="right" w:pos="9350" w:leader="none"/>
      </w:tabs>
      <w:outlineLvl w:val="4"/>
    </w:pPr>
    <w:rPr>
      <w:rFonts w:ascii="Arial" w:hAnsi="Arial" w:cs="Arial"/>
      <w:b/>
      <w:bCs/>
      <w:sz w:val="20"/>
    </w:rPr>
  </w:style>
  <w:style w:type="paragraph" w:styleId="Heading6">
    <w:name w:val="heading 6"/>
    <w:basedOn w:val="Normal"/>
    <w:next w:val="Normal"/>
    <w:qFormat/>
    <w:pPr>
      <w:keepNext w:val="true"/>
      <w:jc w:val="center"/>
      <w:outlineLvl w:val="5"/>
    </w:pPr>
    <w:rPr>
      <w:rFonts w:ascii="Arial" w:hAnsi="Arial" w:cs="Arial"/>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keepLines/>
      <w:ind w:hanging="720" w:start="720" w:end="0"/>
    </w:pPr>
    <w:rPr>
      <w:rFonts w:ascii="Arial" w:hAnsi="Arial" w:cs="Arial"/>
      <w:sz w:val="20"/>
    </w:rPr>
  </w:style>
  <w:style w:type="paragraph" w:styleId="BodyText2">
    <w:name w:val="Body Text 2"/>
    <w:basedOn w:val="Normal"/>
    <w:qFormat/>
    <w:pPr/>
    <w:rPr/>
  </w:style>
  <w:style w:type="paragraph" w:styleId="BodyTextIndent">
    <w:name w:val="Body Text Indent"/>
    <w:basedOn w:val="Normal"/>
    <w:pPr>
      <w:spacing w:lineRule="auto" w:line="480"/>
      <w:ind w:hanging="0" w:start="72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spacing w:lineRule="auto" w:line="480"/>
      <w:ind w:hanging="0" w:start="0" w:end="-720"/>
    </w:pPr>
    <w:rPr>
      <w:rFonts w:ascii="Arial" w:hAnsi="Arial" w:cs="Arial"/>
    </w:rPr>
  </w:style>
  <w:style w:type="paragraph" w:styleId="BodyTextIndent2">
    <w:name w:val="Body Text Indent 2"/>
    <w:basedOn w:val="Normal"/>
    <w:qFormat/>
    <w:pPr>
      <w:spacing w:lineRule="auto" w:line="480"/>
      <w:ind w:firstLine="720" w:start="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2001-05-08T15:05:00Z</dcterms:created>
  <dc:creator>MBulk</dc:creator>
  <dc:description/>
  <dc:language>en-CA</dc:language>
  <cp:lastModifiedBy>LConn</cp:lastModifiedBy>
  <cp:lastPrinted>2001-02-26T10:34:00Z</cp:lastPrinted>
  <dcterms:modified xsi:type="dcterms:W3CDTF">2001-05-08T15:05:00Z</dcterms:modified>
  <cp:revision>2</cp:revision>
  <dc:subject/>
  <dc:title>PX Compliance Filing and Request for Guidance  (BLF0090.DOC;1)</dc:title>
</cp:coreProperties>
</file>