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Outline of FERC </w:t>
      </w:r>
    </w:p>
    <w:p>
      <w:pPr>
        <w:pStyle w:val="Normal"/>
        <w:jc w:val="center"/>
        <w:rPr/>
      </w:pPr>
      <w:r>
        <w:rPr/>
        <w:t>June 19, 2001 “West-Wide” Order</w:t>
      </w:r>
      <w:r>
        <w:rPr>
          <w:rStyle w:val="FootnoteCharacters"/>
          <w:rStyle w:val="FootnoteReference"/>
        </w:rPr>
        <w:footnoteReference w:id="2"/>
      </w:r>
    </w:p>
    <w:p>
      <w:pPr>
        <w:pStyle w:val="Normal"/>
        <w:jc w:val="center"/>
        <w:rPr/>
      </w:pPr>
      <w:r>
        <w:rPr/>
        <w:t>(Draft, Adapted from 6/25/01 IEP Summary)</w:t>
      </w:r>
    </w:p>
    <w:p>
      <w:pPr>
        <w:pStyle w:val="Normal"/>
        <w:rPr/>
      </w:pPr>
      <w:r>
        <w:rPr/>
      </w:r>
    </w:p>
    <w:p>
      <w:pPr>
        <w:pStyle w:val="Normal"/>
        <w:rPr/>
      </w:pPr>
      <w:r>
        <w:rPr/>
      </w:r>
    </w:p>
    <w:p>
      <w:pPr>
        <w:pStyle w:val="Normal"/>
        <w:numPr>
          <w:ilvl w:val="0"/>
          <w:numId w:val="1"/>
        </w:numPr>
        <w:rPr/>
      </w:pPr>
      <w:r>
        <w:rPr/>
        <w:t>“</w:t>
      </w:r>
      <w:r>
        <w:rPr/>
        <w:t>Spot market” sales (all markets that include “sales that are 24 hours or less and that are entered into the day of or day prior to delivery”) in</w:t>
      </w:r>
      <w:r>
        <w:rPr>
          <w:b/>
          <w:bCs/>
        </w:rPr>
        <w:t xml:space="preserve"> reserve deficient</w:t>
      </w:r>
      <w:r>
        <w:rPr/>
        <w:t xml:space="preserve"> (less than 7% in CAISO) hours capped at marginal cost price (MCP).  This will be the MCP (order generally retains April 26 market mitigation plan.).  CAISO shows this MCP as the hourly “inc” price on its website.  Thus during reserve deficiencies the MCP will not be known in advance with certainty.</w:t>
      </w:r>
    </w:p>
    <w:p>
      <w:pPr>
        <w:pStyle w:val="Normal"/>
        <w:ind w:start="1260" w:end="0"/>
        <w:rPr/>
      </w:pPr>
      <w:r>
        <w:rPr/>
      </w:r>
    </w:p>
    <w:p>
      <w:pPr>
        <w:pStyle w:val="Normal"/>
        <w:numPr>
          <w:ilvl w:val="1"/>
          <w:numId w:val="1"/>
        </w:numPr>
        <w:rPr/>
      </w:pPr>
      <w:r>
        <w:rPr/>
        <w:t>Bilateral spot sales prices capped to ISO hourly MCP</w:t>
      </w:r>
    </w:p>
    <w:p>
      <w:pPr>
        <w:pStyle w:val="Normal"/>
        <w:numPr>
          <w:ilvl w:val="1"/>
          <w:numId w:val="1"/>
        </w:numPr>
        <w:rPr/>
      </w:pPr>
      <w:r>
        <w:rPr/>
        <w:t>Marketers cannot bid higher than the MCP—they must be price takers.</w:t>
      </w:r>
    </w:p>
    <w:p>
      <w:pPr>
        <w:pStyle w:val="Normal"/>
        <w:numPr>
          <w:ilvl w:val="1"/>
          <w:numId w:val="1"/>
        </w:numPr>
        <w:rPr/>
      </w:pPr>
      <w:r>
        <w:rPr/>
        <w:t>Reserve deficiency period bids from generators capped at marginal cost to replace gas used for generation plus variable O&amp;M costs</w:t>
      </w:r>
    </w:p>
    <w:p>
      <w:pPr>
        <w:pStyle w:val="Normal"/>
        <w:numPr>
          <w:ilvl w:val="1"/>
          <w:numId w:val="1"/>
        </w:numPr>
        <w:rPr/>
      </w:pPr>
      <w:r>
        <w:rPr/>
        <w:t>Entire ISO load to pick up generators’ emission requirements compliance costs and start-up fuel costs</w:t>
      </w:r>
    </w:p>
    <w:p>
      <w:pPr>
        <w:pStyle w:val="Normal"/>
        <w:numPr>
          <w:ilvl w:val="1"/>
          <w:numId w:val="1"/>
        </w:numPr>
        <w:rPr/>
      </w:pPr>
      <w:r>
        <w:rPr/>
        <w:t>ISO to add 10% to the MCP paid to California sellers for all prospective sales to reflect credit uncertainty.  This adder will not be reflected in the MCP for the rest of the WSCC.</w:t>
      </w:r>
    </w:p>
    <w:p>
      <w:pPr>
        <w:pStyle w:val="Normal"/>
        <w:numPr>
          <w:ilvl w:val="1"/>
          <w:numId w:val="1"/>
        </w:numPr>
        <w:tabs>
          <w:tab w:val="clear" w:pos="720"/>
        </w:tabs>
        <w:rPr/>
      </w:pPr>
      <w:r>
        <w:rPr/>
        <w:t xml:space="preserve">Sellers (other than marketers) may bid above MCP provided that they make a cost justification filing.  </w:t>
      </w:r>
    </w:p>
    <w:p>
      <w:pPr>
        <w:pStyle w:val="Normal"/>
        <w:ind w:start="1080" w:end="0"/>
        <w:rPr/>
      </w:pPr>
      <w:r>
        <w:rPr/>
      </w:r>
    </w:p>
    <w:p>
      <w:pPr>
        <w:pStyle w:val="Normal"/>
        <w:numPr>
          <w:ilvl w:val="0"/>
          <w:numId w:val="1"/>
        </w:numPr>
        <w:tabs>
          <w:tab w:val="clear" w:pos="720"/>
        </w:tabs>
        <w:rPr/>
      </w:pPr>
      <w:r>
        <w:rPr/>
        <w:t>Spot market sales in all</w:t>
      </w:r>
      <w:r>
        <w:rPr>
          <w:b/>
          <w:bCs/>
        </w:rPr>
        <w:t xml:space="preserve"> non-reserve deficient</w:t>
      </w:r>
      <w:r>
        <w:rPr/>
        <w:t xml:space="preserve"> hours capped, absent seller cost justification, at 85% of the highest ISO hourly MCP in last (previous) Stage 1 (not Stage 2 or 3) emergency.  Other than the fact that MCP is unchanged between Stage 1’s, the price mitigation requirements outlined above are the same.</w:t>
      </w:r>
    </w:p>
    <w:p>
      <w:pPr>
        <w:pStyle w:val="Normal"/>
        <w:ind w:start="360" w:end="0"/>
        <w:rPr/>
      </w:pPr>
      <w:r>
        <w:rPr/>
      </w:r>
    </w:p>
    <w:p>
      <w:pPr>
        <w:pStyle w:val="Normal"/>
        <w:numPr>
          <w:ilvl w:val="0"/>
          <w:numId w:val="1"/>
        </w:numPr>
        <w:tabs>
          <w:tab w:val="clear" w:pos="720"/>
        </w:tabs>
        <w:rPr/>
      </w:pPr>
      <w:r>
        <w:rPr>
          <w:b/>
          <w:bCs/>
        </w:rPr>
        <w:t>Cost justification</w:t>
      </w:r>
      <w:r>
        <w:rPr/>
        <w:t xml:space="preserve"> filing:</w:t>
      </w:r>
    </w:p>
    <w:p>
      <w:pPr>
        <w:pStyle w:val="Normal"/>
        <w:numPr>
          <w:ilvl w:val="1"/>
          <w:numId w:val="1"/>
        </w:numPr>
        <w:rPr/>
      </w:pPr>
      <w:r>
        <w:rPr/>
        <w:t>Only if a bid above MCP is hit</w:t>
      </w:r>
    </w:p>
    <w:p>
      <w:pPr>
        <w:pStyle w:val="Normal"/>
        <w:numPr>
          <w:ilvl w:val="1"/>
          <w:numId w:val="1"/>
        </w:numPr>
        <w:rPr/>
      </w:pPr>
      <w:r>
        <w:rPr/>
        <w:t>Can’t include scarcity rents or opportunity cost of power</w:t>
      </w:r>
    </w:p>
    <w:p>
      <w:pPr>
        <w:pStyle w:val="Normal"/>
        <w:numPr>
          <w:ilvl w:val="1"/>
          <w:numId w:val="1"/>
        </w:numPr>
        <w:rPr/>
      </w:pPr>
      <w:r>
        <w:rPr/>
        <w:t>Can include verifiable marginal gas costs, O&amp;M, transmission, and (possibly) SC fees</w:t>
      </w:r>
    </w:p>
    <w:p>
      <w:pPr>
        <w:pStyle w:val="Normal"/>
        <w:numPr>
          <w:ilvl w:val="1"/>
          <w:numId w:val="1"/>
        </w:numPr>
        <w:rPr/>
      </w:pPr>
      <w:r>
        <w:rPr/>
        <w:t>Filing costs for all above-cap bids due on 7</w:t>
      </w:r>
      <w:r>
        <w:rPr>
          <w:vertAlign w:val="superscript"/>
        </w:rPr>
        <w:t>th</w:t>
      </w:r>
      <w:r>
        <w:rPr/>
        <w:t xml:space="preserve"> of month for previous calendar month</w:t>
      </w:r>
    </w:p>
    <w:p>
      <w:pPr>
        <w:pStyle w:val="Normal"/>
        <w:numPr>
          <w:ilvl w:val="1"/>
          <w:numId w:val="1"/>
        </w:numPr>
        <w:rPr/>
      </w:pPr>
      <w:r>
        <w:rPr/>
        <w:t>Generator can file a cost of service rate if it does not want to be subject to cost filings on the margin</w:t>
      </w:r>
    </w:p>
    <w:p>
      <w:pPr>
        <w:pStyle w:val="Normal"/>
        <w:rPr/>
      </w:pPr>
      <w:r>
        <w:rPr/>
      </w:r>
    </w:p>
    <w:p>
      <w:pPr>
        <w:pStyle w:val="Normal"/>
        <w:numPr>
          <w:ilvl w:val="0"/>
          <w:numId w:val="1"/>
        </w:numPr>
        <w:rPr/>
      </w:pPr>
      <w:r>
        <w:rPr/>
        <w:t xml:space="preserve">All public and non-public utilities that own or control generation in California </w:t>
      </w:r>
      <w:r>
        <w:rPr>
          <w:b/>
          <w:bCs/>
        </w:rPr>
        <w:t xml:space="preserve">must offer </w:t>
      </w:r>
      <w:r>
        <w:rPr/>
        <w:t>power in the ISO’s spot markets.</w:t>
      </w:r>
    </w:p>
    <w:p>
      <w:pPr>
        <w:pStyle w:val="Normal"/>
        <w:rPr/>
      </w:pPr>
      <w:r>
        <w:rPr/>
      </w:r>
    </w:p>
    <w:p>
      <w:pPr>
        <w:pStyle w:val="Normal"/>
        <w:numPr>
          <w:ilvl w:val="1"/>
          <w:numId w:val="1"/>
        </w:numPr>
        <w:rPr/>
      </w:pPr>
      <w:r>
        <w:rPr/>
        <w:t>Exemptions are: hydro resources and resources necessary for control area operators to meet minimum reserve requirements.</w:t>
      </w:r>
    </w:p>
    <w:p>
      <w:pPr>
        <w:pStyle w:val="Normal"/>
        <w:numPr>
          <w:ilvl w:val="1"/>
          <w:numId w:val="1"/>
        </w:numPr>
        <w:rPr/>
      </w:pPr>
      <w:r>
        <w:rPr/>
        <w:t>This requirement is westwide and is effective immediately although refund-effective date is 7/2/01</w:t>
      </w:r>
    </w:p>
    <w:p>
      <w:pPr>
        <w:pStyle w:val="Normal"/>
        <w:numPr>
          <w:ilvl w:val="1"/>
          <w:numId w:val="1"/>
        </w:numPr>
        <w:rPr/>
      </w:pPr>
      <w:r>
        <w:rPr/>
        <w:t>All public and non-public utilities that own or control generation, excluding hydro resources, in the WSCC, but outside California, must offer power in the spot market of their choosing.</w:t>
      </w:r>
    </w:p>
    <w:p>
      <w:pPr>
        <w:pStyle w:val="Normal"/>
        <w:numPr>
          <w:ilvl w:val="1"/>
          <w:numId w:val="1"/>
        </w:numPr>
        <w:rPr/>
      </w:pPr>
      <w:r>
        <w:rPr/>
        <w:t>Posting of available capacity by IPPs to be made on company and WSPP website (http://www.wspp.org/disc8_frm.htm).</w:t>
      </w:r>
    </w:p>
    <w:p>
      <w:pPr>
        <w:pStyle w:val="Normal"/>
        <w:rPr/>
      </w:pPr>
      <w:r>
        <w:rPr/>
      </w:r>
    </w:p>
    <w:p>
      <w:pPr>
        <w:pStyle w:val="Normal"/>
        <w:numPr>
          <w:ilvl w:val="0"/>
          <w:numId w:val="1"/>
        </w:numPr>
        <w:rPr/>
      </w:pPr>
      <w:r>
        <w:rPr>
          <w:b/>
          <w:bCs/>
        </w:rPr>
        <w:t xml:space="preserve">Effective date and TERM </w:t>
      </w:r>
      <w:r>
        <w:rPr/>
        <w:t>is June 20, 2001; termination date (California only) is September 30, 2002.  West wide, the term is at least through Summer 01 and may be extended per future order responding to comments due on August 18.</w:t>
      </w:r>
    </w:p>
    <w:p>
      <w:pPr>
        <w:pStyle w:val="Normal"/>
        <w:rPr/>
      </w:pPr>
      <w:r>
        <w:rPr/>
      </w:r>
    </w:p>
    <w:p>
      <w:pPr>
        <w:pStyle w:val="Normal"/>
        <w:numPr>
          <w:ilvl w:val="0"/>
          <w:numId w:val="1"/>
        </w:numPr>
        <w:rPr/>
      </w:pPr>
      <w:r>
        <w:rPr>
          <w:b/>
          <w:bCs/>
        </w:rPr>
        <w:t>Scope</w:t>
      </w:r>
      <w:r>
        <w:rPr/>
        <w:t>: price mitigation also applies to “non-public utilities” in U.S. such as BPA or muni’s</w:t>
      </w:r>
    </w:p>
    <w:p>
      <w:pPr>
        <w:pStyle w:val="Normal"/>
        <w:rPr/>
      </w:pPr>
      <w:r>
        <w:rPr/>
      </w:r>
    </w:p>
    <w:p>
      <w:pPr>
        <w:pStyle w:val="Normal"/>
        <w:numPr>
          <w:ilvl w:val="0"/>
          <w:numId w:val="1"/>
        </w:numPr>
        <w:rPr/>
      </w:pPr>
      <w:r>
        <w:rPr>
          <w:b/>
          <w:bCs/>
        </w:rPr>
        <w:t>Underscheduling penalty</w:t>
      </w:r>
      <w:r>
        <w:rPr/>
        <w:t xml:space="preserve"> for load going to real time in CAISO is technically still in effect but CAISO and EOB support elimination and are not presently charging the fee.</w:t>
      </w:r>
    </w:p>
    <w:p>
      <w:pPr>
        <w:pStyle w:val="Normal"/>
        <w:rPr/>
      </w:pPr>
      <w:r>
        <w:rPr/>
      </w:r>
    </w:p>
    <w:p>
      <w:pPr>
        <w:pStyle w:val="Normal"/>
        <w:numPr>
          <w:ilvl w:val="0"/>
          <w:numId w:val="1"/>
        </w:numPr>
        <w:rPr/>
      </w:pPr>
      <w:r>
        <w:rPr>
          <w:b/>
          <w:bCs/>
        </w:rPr>
        <w:t>Settlement proceedings</w:t>
      </w:r>
      <w:r>
        <w:rPr/>
        <w:t xml:space="preserve"> (begun on 5/25/01) will address issues to ensure that California completes the transformation of its load to long-term contracts.</w:t>
      </w:r>
    </w:p>
    <w:p>
      <w:pPr>
        <w:pStyle w:val="Normal"/>
        <w:rPr>
          <w:sz w:val="16"/>
        </w:rPr>
      </w:pPr>
      <w:r>
        <w:rPr>
          <w:sz w:val="16"/>
        </w:rPr>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0"/>
      </w:rPr>
    </w:pPr>
    <w:r>
      <w:rPr>
        <w:sz w:val="20"/>
      </w:rPr>
      <w:t>Prepared by Andy Brown and Eric Janssen</w:t>
      <w:tab/>
      <w:tab/>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20"/>
      </w:rPr>
      <w:t>Ellison, Schneider &amp; Harris, LLP</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Order on Rehearing of Monitoring and Mitigation Plan for the California Wholesale Electric Markets, Establishing West-Wide Mitigation, and Establishing Settlement Conference</w:t>
      </w:r>
      <w:r>
        <w:rPr/>
        <w:t xml:space="preserve">, 95 FERC ¶ 61,418, June 19, 2001.  The order is available at </w:t>
      </w:r>
      <w:hyperlink r:id="rId1">
        <w:r>
          <w:rPr>
            <w:rStyle w:val="Hyperlink"/>
          </w:rPr>
          <w:t>http://www3.ferc.fed.us/bulkpower/el00-95-031-6-19.PDF</w:t>
        </w:r>
      </w:hyperlink>
      <w:r>
        <w:rPr/>
        <w:t xml:space="preserve"> or </w:t>
      </w:r>
      <w:hyperlink r:id="rId2">
        <w:r>
          <w:rPr>
            <w:rStyle w:val="Hyperlink"/>
          </w:rPr>
          <w:t>http://cips.ferc.fed.us/Q\CIPS \ELECTRIC\EL\EL00-95.0BM.TXT</w:t>
        </w:r>
      </w:hyperlink>
      <w:r>
        <w:rPr/>
        <w:t>.  Page references are provided within the parenthesis, and reflect pagination found on the PDF version of the document.  Official pagination may, but should not be, different.</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3.ferc.fed.us/bulkpower/el00-95-031-6-19.PDF" TargetMode="External"/><Relationship Id="rId2" Type="http://schemas.openxmlformats.org/officeDocument/2006/relationships/hyperlink" Target="http://cips.ferc.fed.us/Q%5CCIPS%20%5CELECTRIC%5CEL%5CEL00-95.0BM.TXT"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2001-06-26T16:08:00Z</dcterms:created>
  <dc:creator>EricJ</dc:creator>
  <dc:description/>
  <dc:language>en-CA</dc:language>
  <cp:lastModifiedBy>acomnes</cp:lastModifiedBy>
  <dcterms:modified xsi:type="dcterms:W3CDTF">2001-06-26T16:08:00Z</dcterms:modified>
  <cp:revision>2</cp:revision>
  <dc:subject/>
  <dc:title>1</dc:title>
</cp:coreProperties>
</file>