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FERC Staff Market Design White Paper and FERC policy statement</w:t>
      </w:r>
    </w:p>
    <w:p>
      <w:pPr>
        <w:pStyle w:val="Normal"/>
        <w:jc w:val="center"/>
        <w:rPr>
          <w:b/>
          <w:bCs/>
        </w:rPr>
      </w:pPr>
      <w:r>
        <w:rPr>
          <w:b/>
          <w:bCs/>
        </w:rPr>
        <w:t>December 17, 2001</w:t>
      </w:r>
    </w:p>
    <w:p>
      <w:pPr>
        <w:pStyle w:val="Normal"/>
        <w:rPr/>
      </w:pPr>
      <w:r>
        <w:rPr/>
      </w:r>
    </w:p>
    <w:p>
      <w:pPr>
        <w:pStyle w:val="Normal"/>
        <w:rPr/>
      </w:pPr>
      <w:r>
        <w:rPr/>
      </w:r>
    </w:p>
    <w:p>
      <w:pPr>
        <w:pStyle w:val="Normal"/>
        <w:rPr/>
      </w:pPr>
      <w:r>
        <w:rPr/>
        <w:t>On December 17, 2001, FERC Staff issued a position paper to provide guidance to FERC commissioners and to the industry re: formation of RTO policy and a standard market design.  FERC also issued a statement to industry that provides much needed guidance on the formation of a standards setting organization that will lead the development of the business and communication standards necessary to facilitate the implementation of the Commission’s market design principles.</w:t>
      </w:r>
    </w:p>
    <w:p>
      <w:pPr>
        <w:pStyle w:val="Normal"/>
        <w:rPr/>
      </w:pPr>
      <w:r>
        <w:rPr/>
      </w:r>
    </w:p>
    <w:p>
      <w:pPr>
        <w:pStyle w:val="Normal"/>
        <w:rPr/>
      </w:pPr>
      <w:r>
        <w:rPr/>
        <w:t>Enron had been participating in both the reshaping of NERC to become a “one-stop shop” for formation of business and reliability standards and the formation of NAESB to become a viable industry-wide forum for the same.  To date, NERC has tried to reconstitute its voting membership by redefining its member sectors in hope of gaining industry-wide acceptance to become the business and reliability organization for the electric wholesale industry.  NAESB has tried to gain a “critical mass” of industry participants to provide the electric industry with a consensus building forum like how GISB has provided to the gas industry.  Though many customers, including Enron, have shown strong interest and support for NAESB, most transmission utilities, municipals and cooperatives are more comfortable with NERC.  Customers have also strongly stated at a DOE sponsored workshop (December 7, 2001) that it wants to see a combination of the reliability expertise of NERC with the fairness and openness that NAESB process can provide.</w:t>
      </w:r>
    </w:p>
    <w:p>
      <w:pPr>
        <w:pStyle w:val="Normal"/>
        <w:rPr/>
      </w:pPr>
      <w:r>
        <w:rPr/>
      </w:r>
    </w:p>
    <w:p>
      <w:pPr>
        <w:pStyle w:val="Normal"/>
        <w:rPr/>
      </w:pPr>
      <w:r>
        <w:rPr/>
        <w:t>FERC stated that it wants the industry to declare by March 15, 2002, which standards setting organization they will support to move forward.  This is could become a catalyst for NERC to provide additional concessions to the customers and for utilities to work towards forming NAESB for the electric wholesale quadrant.  One of the most disconcerting aspects of the NERC proposal is that it proposes 9 voting sectors that provide additional votes to traditional utility-type entities more interested in preserving the status quo.   Additionally, many customers have been against NERC’s insistence that FERC defer authority over electric standards to them – making NERC the compliance authority over the electric industry.</w:t>
      </w:r>
    </w:p>
    <w:p>
      <w:pPr>
        <w:pStyle w:val="Normal"/>
        <w:rPr/>
      </w:pPr>
      <w:r>
        <w:rPr/>
      </w:r>
    </w:p>
    <w:p>
      <w:pPr>
        <w:pStyle w:val="Normal"/>
        <w:rPr/>
      </w:pPr>
      <w:r>
        <w:rPr/>
        <w:t xml:space="preserve">The staff paper bases many of the principles on the work filed by the Electronic Scheduling Collaborative (ESC), an independent working group that was formed to file standard business practices for a single electronic scheduling platform to facilitate OASIS Phase II.  It also relies heavily upon success factors in PJM and less successful factors from California.  Enron also participated extensively on the ESC arguing for more standardization of market models and for the ability to trade seamlessly across RTOs.  </w:t>
      </w:r>
    </w:p>
    <w:p>
      <w:pPr>
        <w:pStyle w:val="Normal"/>
        <w:rPr/>
      </w:pPr>
      <w:r>
        <w:rPr/>
      </w:r>
    </w:p>
    <w:p>
      <w:pPr>
        <w:pStyle w:val="Normal"/>
        <w:rPr/>
      </w:pPr>
      <w:r>
        <w:rPr/>
        <w:t>Major market design principles which an RTO should implement include:</w:t>
      </w:r>
    </w:p>
    <w:p>
      <w:pPr>
        <w:pStyle w:val="Normal"/>
        <w:rPr/>
      </w:pPr>
      <w:r>
        <w:rPr/>
      </w:r>
    </w:p>
    <w:p>
      <w:pPr>
        <w:pStyle w:val="Normal"/>
        <w:numPr>
          <w:ilvl w:val="0"/>
          <w:numId w:val="2"/>
        </w:numPr>
        <w:rPr/>
      </w:pPr>
      <w:r>
        <w:rPr/>
        <w:t xml:space="preserve">Independent entity to operate a real-time energy market </w:t>
      </w:r>
    </w:p>
    <w:p>
      <w:pPr>
        <w:pStyle w:val="Normal"/>
        <w:numPr>
          <w:ilvl w:val="1"/>
          <w:numId w:val="2"/>
        </w:numPr>
        <w:rPr/>
      </w:pPr>
      <w:r>
        <w:rPr/>
        <w:t>utilizing bid-based locational market-clearing prices</w:t>
      </w:r>
    </w:p>
    <w:p>
      <w:pPr>
        <w:pStyle w:val="Normal"/>
        <w:numPr>
          <w:ilvl w:val="1"/>
          <w:numId w:val="2"/>
        </w:numPr>
        <w:rPr/>
      </w:pPr>
      <w:r>
        <w:rPr/>
        <w:t xml:space="preserve">market operator may dispatch sellers and buyers base on voluntary real-time bids </w:t>
      </w:r>
    </w:p>
    <w:p>
      <w:pPr>
        <w:pStyle w:val="Normal"/>
        <w:numPr>
          <w:ilvl w:val="1"/>
          <w:numId w:val="2"/>
        </w:numPr>
        <w:rPr/>
      </w:pPr>
      <w:r>
        <w:rPr/>
        <w:t>options for unscheduled energy</w:t>
      </w:r>
    </w:p>
    <w:p>
      <w:pPr>
        <w:pStyle w:val="Normal"/>
        <w:numPr>
          <w:ilvl w:val="0"/>
          <w:numId w:val="1"/>
        </w:numPr>
        <w:rPr/>
      </w:pPr>
      <w:r>
        <w:rPr/>
        <w:t>penalty for uninstructed generation or load</w:t>
      </w:r>
    </w:p>
    <w:p>
      <w:pPr>
        <w:pStyle w:val="Normal"/>
        <w:numPr>
          <w:ilvl w:val="0"/>
          <w:numId w:val="1"/>
        </w:numPr>
        <w:rPr/>
      </w:pPr>
      <w:r>
        <w:rPr/>
        <w:t xml:space="preserve">no penalty, recognizes schedules don’t always match real-time needs </w:t>
      </w:r>
    </w:p>
    <w:p>
      <w:pPr>
        <w:pStyle w:val="Normal"/>
        <w:numPr>
          <w:ilvl w:val="0"/>
          <w:numId w:val="1"/>
        </w:numPr>
        <w:rPr/>
      </w:pPr>
      <w:r>
        <w:rPr/>
        <w:t>impose a pro-rata charge for transacting in real-time, penalties only when reliability is threatened</w:t>
        <w:tab/>
      </w:r>
    </w:p>
    <w:p>
      <w:pPr>
        <w:pStyle w:val="Normal"/>
        <w:numPr>
          <w:ilvl w:val="1"/>
          <w:numId w:val="2"/>
        </w:numPr>
        <w:rPr/>
      </w:pPr>
      <w:r>
        <w:rPr/>
        <w:t>operate a day-ahead energy market, with voluntary and bid based participation</w:t>
      </w:r>
    </w:p>
    <w:p>
      <w:pPr>
        <w:pStyle w:val="Normal"/>
        <w:numPr>
          <w:ilvl w:val="2"/>
          <w:numId w:val="2"/>
        </w:numPr>
        <w:rPr/>
      </w:pPr>
      <w:r>
        <w:rPr/>
        <w:t>participants not required to submit balanced schedules</w:t>
      </w:r>
    </w:p>
    <w:p>
      <w:pPr>
        <w:pStyle w:val="Normal"/>
        <w:numPr>
          <w:ilvl w:val="2"/>
          <w:numId w:val="2"/>
        </w:numPr>
        <w:rPr/>
      </w:pPr>
      <w:r>
        <w:rPr/>
        <w:t>offers financially binding at day-ahead market clearing prices</w:t>
      </w:r>
    </w:p>
    <w:p>
      <w:pPr>
        <w:pStyle w:val="Normal"/>
        <w:numPr>
          <w:ilvl w:val="2"/>
          <w:numId w:val="2"/>
        </w:numPr>
        <w:rPr/>
      </w:pPr>
      <w:r>
        <w:rPr/>
        <w:t>bilateral transactions and/or self-supply as alternative</w:t>
      </w:r>
    </w:p>
    <w:p>
      <w:pPr>
        <w:pStyle w:val="Normal"/>
        <w:numPr>
          <w:ilvl w:val="1"/>
          <w:numId w:val="2"/>
        </w:numPr>
        <w:rPr/>
      </w:pPr>
      <w:r>
        <w:rPr/>
        <w:t>operate a day-ahead transmission service market</w:t>
      </w:r>
    </w:p>
    <w:p>
      <w:pPr>
        <w:pStyle w:val="Normal"/>
        <w:numPr>
          <w:ilvl w:val="2"/>
          <w:numId w:val="2"/>
        </w:numPr>
        <w:rPr/>
      </w:pPr>
      <w:r>
        <w:rPr/>
        <w:t>congestion costs based upon the difference between energy process between two congested locations</w:t>
      </w:r>
    </w:p>
    <w:p>
      <w:pPr>
        <w:pStyle w:val="Normal"/>
        <w:numPr>
          <w:ilvl w:val="2"/>
          <w:numId w:val="2"/>
        </w:numPr>
        <w:rPr/>
      </w:pPr>
      <w:r>
        <w:rPr/>
        <w:t>no congestion costs should be socialized</w:t>
      </w:r>
    </w:p>
    <w:p>
      <w:pPr>
        <w:pStyle w:val="Normal"/>
        <w:numPr>
          <w:ilvl w:val="0"/>
          <w:numId w:val="2"/>
        </w:numPr>
        <w:rPr/>
      </w:pPr>
      <w:r>
        <w:rPr/>
        <w:t>issue financial transmission rights</w:t>
      </w:r>
    </w:p>
    <w:p>
      <w:pPr>
        <w:pStyle w:val="Normal"/>
        <w:numPr>
          <w:ilvl w:val="2"/>
          <w:numId w:val="2"/>
        </w:numPr>
        <w:rPr/>
      </w:pPr>
      <w:r>
        <w:rPr/>
        <w:t>should offer both point-to-point financial rights and flowgate financial rights</w:t>
      </w:r>
    </w:p>
    <w:p>
      <w:pPr>
        <w:pStyle w:val="Normal"/>
        <w:numPr>
          <w:ilvl w:val="0"/>
          <w:numId w:val="2"/>
        </w:numPr>
        <w:rPr/>
      </w:pPr>
      <w:r>
        <w:rPr/>
        <w:t>operate an operating reserves market</w:t>
      </w:r>
    </w:p>
    <w:p>
      <w:pPr>
        <w:pStyle w:val="Normal"/>
        <w:numPr>
          <w:ilvl w:val="0"/>
          <w:numId w:val="2"/>
        </w:numPr>
        <w:rPr/>
      </w:pPr>
      <w:r>
        <w:rPr/>
        <w:t>Develop and administer a market monitoring program.</w:t>
      </w:r>
    </w:p>
    <w:p>
      <w:pPr>
        <w:pStyle w:val="Normal"/>
        <w:ind w:start="1080" w:end="0"/>
        <w:rPr/>
      </w:pPr>
      <w:r>
        <w:rPr/>
      </w:r>
    </w:p>
    <w:p>
      <w:pPr>
        <w:pStyle w:val="Normal"/>
        <w:ind w:start="720" w:end="0"/>
        <w:rPr/>
      </w:pPr>
      <w:r>
        <w:rPr/>
      </w:r>
    </w:p>
    <w:p>
      <w:pPr>
        <w:pStyle w:val="Normal"/>
        <w:ind w:start="1440" w:end="0"/>
        <w:rPr/>
      </w:pPr>
      <w:r>
        <w:rPr/>
      </w:r>
    </w:p>
    <w:p>
      <w:pPr>
        <w:pStyle w:val="Normal"/>
        <w:ind w:start="1080" w:end="0"/>
        <w:rPr/>
      </w:pPr>
      <w:r>
        <w:rPr/>
      </w:r>
    </w:p>
    <w:p>
      <w:pPr>
        <w:pStyle w:val="Normal"/>
        <w:rPr/>
      </w:pPr>
      <w:r>
        <w:rPr/>
      </w:r>
    </w:p>
    <w:p>
      <w:pPr>
        <w:pStyle w:val="Normal"/>
        <w:ind w:start="1440" w:end="0"/>
        <w:rPr/>
      </w:pPr>
      <w:r>
        <w:rPr/>
      </w:r>
    </w:p>
    <w:p>
      <w:pPr>
        <w:pStyle w:val="Normal"/>
        <w:ind w:start="1440" w:end="0"/>
        <w:rPr/>
      </w:pPr>
      <w:r>
        <w:rPr/>
      </w:r>
    </w:p>
    <w:p>
      <w:pPr>
        <w:pStyle w:val="Normal"/>
        <w:ind w:start="1440" w:end="0"/>
        <w:rPr/>
      </w:pPr>
      <w:r>
        <w:rPr/>
      </w:r>
    </w:p>
    <w:p>
      <w:pPr>
        <w:pStyle w:val="Normal"/>
        <w:rPr/>
      </w:pPr>
      <w:r>
        <w:rPr/>
        <w:tab/>
      </w:r>
    </w:p>
    <w:p>
      <w:pPr>
        <w:pStyle w:val="Normal"/>
        <w:rPr/>
      </w:pPr>
      <w:r>
        <w:rPr/>
      </w:r>
    </w:p>
    <w:p>
      <w:pPr>
        <w:pStyle w:val="Normal"/>
        <w:rPr/>
      </w:pPr>
      <w:r>
        <w:rPr/>
      </w:r>
    </w:p>
    <w:p>
      <w:pPr>
        <w:pStyle w:val="Normal"/>
        <w:ind w:start="1440" w:end="0"/>
        <w:rPr/>
      </w:pPr>
      <w:r>
        <w:rPr/>
      </w:r>
    </w:p>
    <w:p>
      <w:pPr>
        <w:pStyle w:val="Normal"/>
        <w:ind w:start="1440" w:end="0"/>
        <w:rPr/>
      </w:pPr>
      <w:r>
        <w:rPr/>
      </w:r>
    </w:p>
    <w:p>
      <w:pPr>
        <w:pStyle w:val="Normal"/>
        <w:ind w:start="72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2160"/>
        </w:tabs>
        <w:ind w:start="2160" w:hanging="360"/>
      </w:pPr>
      <w:rPr/>
    </w:lvl>
  </w:abstractNum>
  <w:abstractNum w:abstractNumId="2">
    <w:lvl w:ilvl="0">
      <w:numFmt w:val="bullet"/>
      <w:lvlText w:val="-"/>
      <w:lvlJc w:val="start"/>
      <w:pPr>
        <w:tabs>
          <w:tab w:val="num" w:pos="720"/>
        </w:tabs>
        <w:ind w:start="720" w:hanging="360"/>
      </w:pPr>
      <w:rPr>
        <w:rFonts w:ascii="Times New Roman" w:hAnsi="Times New Roman" w:cs="Times New Roman"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2001-12-22T15:37:00Z</dcterms:created>
  <dc:creator>Charles Yeung</dc:creator>
  <dc:description/>
  <dc:language>en-CA</dc:language>
  <cp:lastModifiedBy>Charles Yeung</cp:lastModifiedBy>
  <dcterms:modified xsi:type="dcterms:W3CDTF">2001-12-26T14:44:00Z</dcterms:modified>
  <cp:revision>20</cp:revision>
  <dc:subject/>
  <dc:title>On December 17, 2001, FERC Staff issued a position paper to provide guidance to FERC commissioners and the industry re: format</dc:title>
</cp:coreProperties>
</file>