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ind w:hanging="0" w:start="0" w:end="0"/>
        <w:rPr>
          <w:bCs/>
          <w:sz w:val="24"/>
        </w:rPr>
      </w:pPr>
      <w:r>
        <w:rPr>
          <w:bCs/>
          <w:sz w:val="24"/>
        </w:rPr>
        <w:t>UNITED STATES OF AMERICA</w:t>
      </w:r>
    </w:p>
    <w:p>
      <w:pPr>
        <w:pStyle w:val="Normal"/>
        <w:jc w:val="center"/>
        <w:rPr>
          <w:b/>
          <w:bCs/>
          <w:sz w:val="24"/>
        </w:rPr>
      </w:pPr>
      <w:r>
        <w:rPr>
          <w:b/>
          <w:bCs/>
          <w:sz w:val="24"/>
        </w:rPr>
        <w:t>BEFORE THE</w:t>
      </w:r>
    </w:p>
    <w:p>
      <w:pPr>
        <w:pStyle w:val="Heading4"/>
        <w:ind w:hanging="0" w:start="0"/>
        <w:rPr/>
      </w:pPr>
      <w:r>
        <w:rPr/>
        <w:t>FEDERAL ENERGY REGULATORY COMMISSION</w:t>
      </w:r>
    </w:p>
    <w:p>
      <w:pPr>
        <w:pStyle w:val="Normal"/>
        <w:rPr>
          <w:b/>
          <w:bCs/>
          <w:sz w:val="24"/>
        </w:rPr>
      </w:pPr>
      <w:r>
        <w:rPr>
          <w:b/>
          <w:bCs/>
          <w:sz w:val="24"/>
        </w:rPr>
      </w:r>
    </w:p>
    <w:p>
      <w:pPr>
        <w:pStyle w:val="Normal"/>
        <w:tabs>
          <w:tab w:val="clear" w:pos="720"/>
          <w:tab w:val="left" w:pos="-1440" w:leader="none"/>
        </w:tabs>
        <w:ind w:hanging="1080" w:start="1440" w:end="0"/>
        <w:rPr>
          <w:b/>
          <w:bCs/>
          <w:sz w:val="24"/>
        </w:rPr>
      </w:pPr>
      <w:r>
        <w:rPr>
          <w:b/>
          <w:bCs/>
          <w:sz w:val="24"/>
        </w:rPr>
        <w:tab/>
      </w:r>
    </w:p>
    <w:p>
      <w:pPr>
        <w:pStyle w:val="Normal"/>
        <w:rPr>
          <w:b/>
          <w:bCs/>
          <w:sz w:val="24"/>
        </w:rPr>
      </w:pPr>
      <w:r>
        <w:rPr>
          <w:b/>
          <w:bCs/>
          <w:sz w:val="24"/>
        </w:rPr>
        <w:t>San Diego Gas &amp; Electric Company,</w:t>
        <w:tab/>
        <w:tab/>
        <w:t>)</w:t>
      </w:r>
    </w:p>
    <w:p>
      <w:pPr>
        <w:pStyle w:val="Normal"/>
        <w:rPr>
          <w:b/>
          <w:bCs/>
          <w:sz w:val="24"/>
        </w:rPr>
      </w:pPr>
      <w:r>
        <w:rPr>
          <w:b/>
          <w:bCs/>
          <w:sz w:val="24"/>
        </w:rPr>
        <w:tab/>
        <w:tab/>
        <w:tab/>
        <w:t>Complainant,</w:t>
        <w:tab/>
        <w:tab/>
        <w:tab/>
        <w:t>)</w:t>
      </w:r>
    </w:p>
    <w:p>
      <w:pPr>
        <w:pStyle w:val="Normal"/>
        <w:rPr>
          <w:b/>
          <w:bCs/>
          <w:sz w:val="24"/>
        </w:rPr>
      </w:pPr>
      <w:r>
        <w:rPr>
          <w:b/>
          <w:bCs/>
          <w:sz w:val="24"/>
        </w:rPr>
        <w:tab/>
        <w:tab/>
        <w:tab/>
        <w:tab/>
        <w:tab/>
        <w:tab/>
        <w:tab/>
        <w:t>)</w:t>
      </w:r>
    </w:p>
    <w:p>
      <w:pPr>
        <w:pStyle w:val="Normal"/>
        <w:rPr>
          <w:b/>
          <w:bCs/>
          <w:sz w:val="24"/>
        </w:rPr>
      </w:pPr>
      <w:r>
        <w:rPr>
          <w:b/>
          <w:bCs/>
          <w:sz w:val="24"/>
        </w:rPr>
        <w:tab/>
        <w:tab/>
        <w:t>v.</w:t>
        <w:tab/>
        <w:tab/>
        <w:tab/>
        <w:tab/>
        <w:tab/>
        <w:t>)</w:t>
        <w:tab/>
        <w:t>Docket No. EL00-95-045</w:t>
      </w:r>
    </w:p>
    <w:p>
      <w:pPr>
        <w:pStyle w:val="Normal"/>
        <w:rPr>
          <w:b/>
          <w:bCs/>
          <w:sz w:val="24"/>
        </w:rPr>
      </w:pPr>
      <w:r>
        <w:rPr>
          <w:b/>
          <w:bCs/>
          <w:sz w:val="24"/>
        </w:rPr>
        <w:tab/>
        <w:tab/>
        <w:tab/>
        <w:tab/>
        <w:tab/>
        <w:tab/>
        <w:tab/>
        <w:t>)</w:t>
      </w:r>
    </w:p>
    <w:p>
      <w:pPr>
        <w:pStyle w:val="Normal"/>
        <w:tabs>
          <w:tab w:val="clear" w:pos="720"/>
          <w:tab w:val="left" w:pos="4680" w:leader="none"/>
        </w:tabs>
        <w:rPr>
          <w:b/>
          <w:bCs/>
          <w:sz w:val="24"/>
        </w:rPr>
      </w:pPr>
      <w:r>
        <w:rPr>
          <w:b/>
          <w:bCs/>
          <w:sz w:val="24"/>
        </w:rPr>
        <w:t>Sellers of Energy and Ancillary Services</w:t>
        <w:tab/>
        <w:tab/>
        <w:t>)</w:t>
      </w:r>
    </w:p>
    <w:p>
      <w:pPr>
        <w:pStyle w:val="Normal"/>
        <w:tabs>
          <w:tab w:val="clear" w:pos="720"/>
          <w:tab w:val="left" w:pos="4680" w:leader="none"/>
        </w:tabs>
        <w:rPr>
          <w:b/>
          <w:bCs/>
          <w:sz w:val="24"/>
        </w:rPr>
      </w:pPr>
      <w:r>
        <w:rPr>
          <w:b/>
          <w:bCs/>
          <w:sz w:val="24"/>
        </w:rPr>
        <w:t>Into Markets Operated by the California</w:t>
        <w:tab/>
        <w:tab/>
        <w:t>)</w:t>
      </w:r>
    </w:p>
    <w:p>
      <w:pPr>
        <w:pStyle w:val="Normal"/>
        <w:tabs>
          <w:tab w:val="clear" w:pos="720"/>
          <w:tab w:val="left" w:pos="4680" w:leader="none"/>
        </w:tabs>
        <w:rPr>
          <w:b/>
          <w:bCs/>
          <w:sz w:val="24"/>
        </w:rPr>
      </w:pPr>
      <w:r>
        <w:rPr>
          <w:b/>
          <w:bCs/>
          <w:sz w:val="24"/>
        </w:rPr>
        <w:t>Independent System Operator and the</w:t>
        <w:tab/>
        <w:tab/>
        <w:t>)</w:t>
      </w:r>
    </w:p>
    <w:p>
      <w:pPr>
        <w:pStyle w:val="Normal"/>
        <w:tabs>
          <w:tab w:val="clear" w:pos="720"/>
          <w:tab w:val="left" w:pos="4680" w:leader="none"/>
        </w:tabs>
        <w:rPr>
          <w:b/>
          <w:bCs/>
          <w:sz w:val="24"/>
        </w:rPr>
      </w:pPr>
      <w:r>
        <w:rPr>
          <w:b/>
          <w:bCs/>
          <w:sz w:val="24"/>
        </w:rPr>
        <w:t xml:space="preserve">California Power Exchange, </w:t>
        <w:tab/>
        <w:tab/>
        <w:t>)</w:t>
      </w:r>
    </w:p>
    <w:p>
      <w:pPr>
        <w:pStyle w:val="Normal"/>
        <w:tabs>
          <w:tab w:val="clear" w:pos="720"/>
          <w:tab w:val="left" w:pos="4680" w:leader="none"/>
        </w:tabs>
        <w:rPr>
          <w:b/>
          <w:bCs/>
          <w:sz w:val="24"/>
        </w:rPr>
      </w:pPr>
      <w:r>
        <w:rPr>
          <w:b/>
          <w:bCs/>
          <w:sz w:val="24"/>
        </w:rPr>
        <w:t xml:space="preserve">                                </w:t>
      </w:r>
      <w:r>
        <w:rPr>
          <w:b/>
          <w:bCs/>
          <w:sz w:val="24"/>
        </w:rPr>
        <w:t>Respondents.</w:t>
        <w:tab/>
        <w:tab/>
        <w:t>)</w:t>
      </w:r>
    </w:p>
    <w:p>
      <w:pPr>
        <w:pStyle w:val="Normal"/>
        <w:tabs>
          <w:tab w:val="clear" w:pos="720"/>
          <w:tab w:val="left" w:pos="4680" w:leader="none"/>
        </w:tabs>
        <w:rPr>
          <w:b/>
          <w:bCs/>
          <w:sz w:val="24"/>
        </w:rPr>
      </w:pPr>
      <w:r>
        <w:rPr>
          <w:b/>
          <w:bCs/>
          <w:sz w:val="24"/>
        </w:rPr>
        <w:tab/>
        <w:tab/>
        <w:t>)</w:t>
      </w:r>
    </w:p>
    <w:p>
      <w:pPr>
        <w:pStyle w:val="Normal"/>
        <w:tabs>
          <w:tab w:val="clear" w:pos="720"/>
          <w:tab w:val="left" w:pos="4680" w:leader="none"/>
        </w:tabs>
        <w:rPr>
          <w:b/>
          <w:bCs/>
          <w:sz w:val="24"/>
        </w:rPr>
      </w:pPr>
      <w:r>
        <w:rPr>
          <w:b/>
          <w:bCs/>
          <w:sz w:val="24"/>
        </w:rPr>
        <w:t>Investigation of Practices of the California</w:t>
        <w:tab/>
        <w:t xml:space="preserve">      )</w:t>
      </w:r>
    </w:p>
    <w:p>
      <w:pPr>
        <w:pStyle w:val="Normal"/>
        <w:tabs>
          <w:tab w:val="clear" w:pos="720"/>
          <w:tab w:val="left" w:pos="4680" w:leader="none"/>
        </w:tabs>
        <w:rPr>
          <w:b/>
          <w:bCs/>
          <w:sz w:val="24"/>
        </w:rPr>
      </w:pPr>
      <w:r>
        <w:rPr>
          <w:b/>
          <w:bCs/>
          <w:sz w:val="24"/>
        </w:rPr>
        <w:t>Independent System Operator and the</w:t>
        <w:tab/>
        <w:tab/>
        <w:t>)</w:t>
        <w:tab/>
        <w:t>Docket No. EL00-98-042</w:t>
      </w:r>
    </w:p>
    <w:p>
      <w:pPr>
        <w:pStyle w:val="Normal"/>
        <w:tabs>
          <w:tab w:val="clear" w:pos="720"/>
          <w:tab w:val="left" w:pos="4680" w:leader="none"/>
        </w:tabs>
        <w:rPr>
          <w:b/>
          <w:bCs/>
          <w:sz w:val="24"/>
        </w:rPr>
      </w:pPr>
      <w:r>
        <w:rPr>
          <w:b/>
          <w:bCs/>
          <w:sz w:val="24"/>
        </w:rPr>
        <w:t>California Power Exchange</w:t>
        <w:tab/>
        <w:t xml:space="preserve">      )</w:t>
      </w:r>
    </w:p>
    <w:p>
      <w:pPr>
        <w:pStyle w:val="Normal"/>
        <w:tabs>
          <w:tab w:val="clear" w:pos="720"/>
          <w:tab w:val="left" w:pos="-1440" w:leader="none"/>
        </w:tabs>
        <w:rPr>
          <w:b/>
          <w:bCs/>
          <w:sz w:val="24"/>
        </w:rPr>
      </w:pPr>
      <w:r>
        <w:rPr>
          <w:b/>
          <w:bCs/>
          <w:sz w:val="24"/>
        </w:rPr>
      </w:r>
    </w:p>
    <w:p>
      <w:pPr>
        <w:pStyle w:val="Normal"/>
        <w:tabs>
          <w:tab w:val="clear" w:pos="720"/>
          <w:tab w:val="left" w:pos="-1440" w:leader="none"/>
        </w:tabs>
        <w:rPr>
          <w:b/>
          <w:bCs/>
          <w:sz w:val="24"/>
        </w:rPr>
      </w:pPr>
      <w:r>
        <w:rPr>
          <w:b/>
          <w:bCs/>
          <w:sz w:val="24"/>
        </w:rPr>
      </w:r>
    </w:p>
    <w:p>
      <w:pPr>
        <w:pStyle w:val="Heading4"/>
        <w:tabs>
          <w:tab w:val="clear" w:pos="720"/>
          <w:tab w:val="left" w:pos="-1440" w:leader="none"/>
        </w:tabs>
        <w:ind w:hanging="0" w:start="0"/>
        <w:rPr/>
      </w:pPr>
      <w:r>
        <w:rPr/>
        <w:t>BPA’s Response to Staff’s Data Request</w:t>
      </w:r>
    </w:p>
    <w:p>
      <w:pPr>
        <w:pStyle w:val="Normal"/>
        <w:tabs>
          <w:tab w:val="clear" w:pos="720"/>
          <w:tab w:val="left" w:pos="-1440" w:leader="none"/>
        </w:tabs>
        <w:jc w:val="center"/>
        <w:rPr>
          <w:b/>
          <w:bCs/>
          <w:sz w:val="24"/>
        </w:rPr>
      </w:pPr>
      <w:r>
        <w:rPr>
          <w:b/>
          <w:bCs/>
          <w:sz w:val="24"/>
        </w:rPr>
      </w:r>
    </w:p>
    <w:p>
      <w:pPr>
        <w:pStyle w:val="Normal"/>
        <w:tabs>
          <w:tab w:val="clear" w:pos="720"/>
          <w:tab w:val="left" w:pos="-1440" w:leader="none"/>
        </w:tabs>
        <w:jc w:val="center"/>
        <w:rPr>
          <w:b/>
          <w:bCs/>
          <w:sz w:val="24"/>
        </w:rPr>
      </w:pPr>
      <w:r>
        <w:rPr>
          <w:b/>
          <w:bCs/>
          <w:sz w:val="24"/>
        </w:rPr>
      </w:r>
    </w:p>
    <w:p>
      <w:pPr>
        <w:pStyle w:val="Normal"/>
        <w:rPr>
          <w:sz w:val="26"/>
          <w:szCs w:val="26"/>
        </w:rPr>
      </w:pPr>
      <w:r>
        <w:rPr>
          <w:b/>
          <w:bCs/>
          <w:sz w:val="26"/>
          <w:szCs w:val="26"/>
        </w:rPr>
        <w:t>Staff/BPA-1</w:t>
      </w:r>
    </w:p>
    <w:p>
      <w:pPr>
        <w:pStyle w:val="Normal"/>
        <w:rPr>
          <w:sz w:val="26"/>
          <w:szCs w:val="26"/>
        </w:rPr>
      </w:pPr>
      <w:r>
        <w:rPr>
          <w:sz w:val="26"/>
          <w:szCs w:val="26"/>
        </w:rPr>
      </w:r>
    </w:p>
    <w:p>
      <w:pPr>
        <w:pStyle w:val="Normal"/>
        <w:rPr>
          <w:sz w:val="26"/>
          <w:szCs w:val="26"/>
        </w:rPr>
      </w:pPr>
      <w:r>
        <w:rPr>
          <w:sz w:val="26"/>
          <w:szCs w:val="26"/>
        </w:rPr>
        <w:t>Referring to Exhibit BPA-1, page 4, lines 9-15, please provide BPA's notices of available excess energy that were provided to the California ISO for December 27, and 28, 2000 and January 2 and 12, 2001.</w:t>
      </w:r>
    </w:p>
    <w:p>
      <w:pPr>
        <w:pStyle w:val="Normal"/>
        <w:rPr>
          <w:sz w:val="26"/>
          <w:szCs w:val="26"/>
        </w:rPr>
      </w:pPr>
      <w:r>
        <w:rPr>
          <w:sz w:val="26"/>
          <w:szCs w:val="26"/>
        </w:rPr>
      </w:r>
    </w:p>
    <w:p>
      <w:pPr>
        <w:pStyle w:val="Normal"/>
        <w:rPr>
          <w:b/>
          <w:bCs/>
          <w:sz w:val="26"/>
          <w:szCs w:val="26"/>
        </w:rPr>
      </w:pPr>
      <w:r>
        <w:rPr>
          <w:b/>
          <w:bCs/>
          <w:sz w:val="26"/>
          <w:szCs w:val="26"/>
        </w:rPr>
        <w:t>Response:</w:t>
      </w:r>
    </w:p>
    <w:p>
      <w:pPr>
        <w:pStyle w:val="Normal"/>
        <w:rPr>
          <w:b/>
          <w:bCs/>
          <w:sz w:val="26"/>
          <w:szCs w:val="26"/>
        </w:rPr>
      </w:pPr>
      <w:r>
        <w:rPr>
          <w:b/>
          <w:bCs/>
          <w:sz w:val="26"/>
          <w:szCs w:val="26"/>
        </w:rPr>
      </w:r>
    </w:p>
    <w:p>
      <w:pPr>
        <w:pStyle w:val="BodyText"/>
        <w:rPr/>
      </w:pPr>
      <w:r>
        <w:rPr/>
        <w:t xml:space="preserve">See attached Notice of Energy Services Requested.  This document contains all of the days and available excess energy.  </w:t>
      </w:r>
    </w:p>
    <w:p>
      <w:pPr>
        <w:pStyle w:val="Normal"/>
        <w:rPr>
          <w:sz w:val="26"/>
          <w:szCs w:val="26"/>
        </w:rPr>
      </w:pPr>
      <w:r>
        <w:rPr>
          <w:sz w:val="26"/>
          <w:szCs w:val="26"/>
        </w:rPr>
      </w:r>
    </w:p>
    <w:p>
      <w:pPr>
        <w:pStyle w:val="Normal"/>
        <w:rPr>
          <w:sz w:val="26"/>
          <w:szCs w:val="26"/>
        </w:rPr>
      </w:pPr>
      <w:r>
        <w:rPr>
          <w:b/>
          <w:bCs/>
          <w:sz w:val="26"/>
          <w:szCs w:val="26"/>
        </w:rPr>
        <w:t>Staff/BPA-2</w:t>
      </w:r>
    </w:p>
    <w:p>
      <w:pPr>
        <w:pStyle w:val="Normal"/>
        <w:rPr>
          <w:sz w:val="26"/>
          <w:szCs w:val="26"/>
        </w:rPr>
      </w:pPr>
      <w:r>
        <w:rPr>
          <w:sz w:val="26"/>
          <w:szCs w:val="26"/>
        </w:rPr>
      </w:r>
    </w:p>
    <w:p>
      <w:pPr>
        <w:pStyle w:val="Normal"/>
        <w:rPr>
          <w:sz w:val="26"/>
          <w:szCs w:val="26"/>
        </w:rPr>
      </w:pPr>
      <w:r>
        <w:rPr>
          <w:sz w:val="26"/>
          <w:szCs w:val="26"/>
        </w:rPr>
        <w:t>Referring to Exhibit BPA-1, page 5, lines 16-21,</w:t>
      </w:r>
    </w:p>
    <w:p>
      <w:pPr>
        <w:pStyle w:val="Normal"/>
        <w:rPr>
          <w:sz w:val="26"/>
          <w:szCs w:val="26"/>
        </w:rPr>
      </w:pPr>
      <w:r>
        <w:rPr>
          <w:sz w:val="26"/>
          <w:szCs w:val="26"/>
        </w:rPr>
      </w:r>
    </w:p>
    <w:p>
      <w:pPr>
        <w:pStyle w:val="Normal"/>
        <w:numPr>
          <w:ilvl w:val="0"/>
          <w:numId w:val="4"/>
        </w:numPr>
        <w:tabs>
          <w:tab w:val="clear" w:pos="720"/>
          <w:tab w:val="left" w:pos="-1440" w:leader="none"/>
        </w:tabs>
        <w:rPr>
          <w:sz w:val="26"/>
          <w:szCs w:val="26"/>
        </w:rPr>
      </w:pPr>
      <w:r>
        <w:rPr>
          <w:sz w:val="26"/>
          <w:szCs w:val="26"/>
        </w:rPr>
        <w:t>please provide the Operations Memos for the period December 14, 2000 through February 6, 2001.</w:t>
      </w:r>
    </w:p>
    <w:p>
      <w:pPr>
        <w:pStyle w:val="Normal"/>
        <w:tabs>
          <w:tab w:val="clear" w:pos="720"/>
          <w:tab w:val="left" w:pos="-1440" w:leader="none"/>
        </w:tabs>
        <w:rPr>
          <w:sz w:val="26"/>
          <w:szCs w:val="26"/>
        </w:rPr>
      </w:pPr>
      <w:r>
        <w:rPr>
          <w:sz w:val="26"/>
          <w:szCs w:val="26"/>
        </w:rPr>
      </w:r>
    </w:p>
    <w:p>
      <w:pPr>
        <w:pStyle w:val="Normal"/>
        <w:tabs>
          <w:tab w:val="clear" w:pos="720"/>
          <w:tab w:val="left" w:pos="-1440" w:leader="none"/>
        </w:tabs>
        <w:rPr>
          <w:b/>
          <w:bCs/>
          <w:sz w:val="26"/>
          <w:szCs w:val="26"/>
        </w:rPr>
      </w:pPr>
      <w:r>
        <w:rPr>
          <w:b/>
          <w:bCs/>
          <w:sz w:val="26"/>
          <w:szCs w:val="26"/>
        </w:rPr>
        <w:t>Response:</w:t>
      </w:r>
    </w:p>
    <w:p>
      <w:pPr>
        <w:pStyle w:val="Normal"/>
        <w:tabs>
          <w:tab w:val="clear" w:pos="720"/>
          <w:tab w:val="left" w:pos="-1440" w:leader="none"/>
        </w:tabs>
        <w:rPr>
          <w:b/>
          <w:bCs/>
          <w:sz w:val="26"/>
          <w:szCs w:val="26"/>
        </w:rPr>
      </w:pPr>
      <w:r>
        <w:rPr>
          <w:b/>
          <w:bCs/>
          <w:sz w:val="26"/>
          <w:szCs w:val="26"/>
        </w:rPr>
      </w:r>
    </w:p>
    <w:p>
      <w:pPr>
        <w:pStyle w:val="Heading3"/>
        <w:ind w:hanging="0" w:start="0"/>
        <w:rPr/>
      </w:pPr>
      <w:r>
        <w:rPr/>
        <w:t>See attached documents</w:t>
      </w:r>
    </w:p>
    <w:p>
      <w:pPr>
        <w:pStyle w:val="Normal"/>
        <w:tabs>
          <w:tab w:val="clear" w:pos="720"/>
          <w:tab w:val="left" w:pos="-1440" w:leader="none"/>
        </w:tabs>
        <w:rPr>
          <w:sz w:val="26"/>
          <w:szCs w:val="26"/>
        </w:rPr>
      </w:pPr>
      <w:r>
        <w:rPr>
          <w:sz w:val="26"/>
          <w:szCs w:val="26"/>
        </w:rPr>
      </w:r>
    </w:p>
    <w:p>
      <w:pPr>
        <w:pStyle w:val="Normal"/>
        <w:numPr>
          <w:ilvl w:val="0"/>
          <w:numId w:val="4"/>
        </w:numPr>
        <w:tabs>
          <w:tab w:val="clear" w:pos="720"/>
          <w:tab w:val="left" w:pos="-1440" w:leader="none"/>
          <w:tab w:val="left" w:pos="810" w:leader="none"/>
        </w:tabs>
        <w:rPr>
          <w:sz w:val="26"/>
          <w:szCs w:val="26"/>
        </w:rPr>
      </w:pPr>
      <w:r>
        <w:rPr>
          <w:sz w:val="26"/>
          <w:szCs w:val="26"/>
        </w:rPr>
        <w:t>did BPA submit any of the memos to the California ISO?  If yes, please specify.</w:t>
      </w:r>
    </w:p>
    <w:p>
      <w:pPr>
        <w:pStyle w:val="Normal"/>
        <w:tabs>
          <w:tab w:val="clear" w:pos="720"/>
          <w:tab w:val="left" w:pos="-1440" w:leader="none"/>
        </w:tabs>
        <w:rPr>
          <w:sz w:val="26"/>
          <w:szCs w:val="26"/>
        </w:rPr>
      </w:pPr>
      <w:r>
        <w:rPr>
          <w:sz w:val="26"/>
          <w:szCs w:val="26"/>
        </w:rPr>
      </w:r>
    </w:p>
    <w:p>
      <w:pPr>
        <w:pStyle w:val="Normal"/>
        <w:tabs>
          <w:tab w:val="clear" w:pos="720"/>
          <w:tab w:val="left" w:pos="-1440" w:leader="none"/>
        </w:tabs>
        <w:rPr>
          <w:b/>
          <w:bCs/>
          <w:sz w:val="26"/>
          <w:szCs w:val="26"/>
        </w:rPr>
      </w:pPr>
      <w:r>
        <w:rPr>
          <w:b/>
          <w:bCs/>
          <w:sz w:val="26"/>
          <w:szCs w:val="26"/>
        </w:rPr>
        <w:t>Response:</w:t>
      </w:r>
    </w:p>
    <w:p>
      <w:pPr>
        <w:pStyle w:val="Normal"/>
        <w:tabs>
          <w:tab w:val="clear" w:pos="720"/>
          <w:tab w:val="left" w:pos="-1440" w:leader="none"/>
        </w:tabs>
        <w:rPr>
          <w:b/>
          <w:bCs/>
          <w:sz w:val="26"/>
          <w:szCs w:val="26"/>
        </w:rPr>
      </w:pPr>
      <w:r>
        <w:rPr>
          <w:b/>
          <w:bCs/>
          <w:sz w:val="26"/>
          <w:szCs w:val="26"/>
        </w:rPr>
      </w:r>
    </w:p>
    <w:p>
      <w:pPr>
        <w:pStyle w:val="Normal"/>
        <w:tabs>
          <w:tab w:val="clear" w:pos="720"/>
          <w:tab w:val="left" w:pos="-1440" w:leader="none"/>
        </w:tabs>
        <w:rPr>
          <w:sz w:val="26"/>
          <w:szCs w:val="26"/>
        </w:rPr>
      </w:pPr>
      <w:r>
        <w:rPr>
          <w:sz w:val="26"/>
          <w:szCs w:val="26"/>
        </w:rPr>
        <w:t xml:space="preserve">No.  These are documents that are not shared with any party outside the agency.  They are used to instruct BPA’s schedulers and traders about the current hydro conditions.  </w:t>
      </w:r>
    </w:p>
    <w:p>
      <w:pPr>
        <w:pStyle w:val="Normal"/>
        <w:rPr>
          <w:sz w:val="26"/>
          <w:szCs w:val="26"/>
        </w:rPr>
      </w:pPr>
      <w:r>
        <w:rPr>
          <w:sz w:val="26"/>
          <w:szCs w:val="26"/>
        </w:rPr>
      </w:r>
    </w:p>
    <w:p>
      <w:pPr>
        <w:pStyle w:val="Normal"/>
        <w:rPr>
          <w:sz w:val="26"/>
          <w:szCs w:val="26"/>
        </w:rPr>
      </w:pPr>
      <w:r>
        <w:rPr>
          <w:b/>
          <w:bCs/>
          <w:sz w:val="26"/>
          <w:szCs w:val="26"/>
        </w:rPr>
        <w:t>Staff/BPA-3</w:t>
      </w:r>
    </w:p>
    <w:p>
      <w:pPr>
        <w:pStyle w:val="Normal"/>
        <w:rPr>
          <w:sz w:val="26"/>
          <w:szCs w:val="26"/>
        </w:rPr>
      </w:pPr>
      <w:r>
        <w:rPr>
          <w:sz w:val="26"/>
          <w:szCs w:val="26"/>
        </w:rPr>
      </w:r>
    </w:p>
    <w:p>
      <w:pPr>
        <w:pStyle w:val="Normal"/>
        <w:rPr>
          <w:sz w:val="26"/>
          <w:szCs w:val="26"/>
        </w:rPr>
      </w:pPr>
      <w:r>
        <w:rPr>
          <w:sz w:val="26"/>
          <w:szCs w:val="26"/>
        </w:rPr>
        <w:t>Referring to Exhibit BPA-1, page 6, lines 14-18, please provide all documents, correspondence, communications, phone logs and the like, that discuss, address or relate to Mr. Mills' statement that the California ISO frequently called BPA duty schedulers asking BPA real-time traders to supply energy to the California ISO to meet critical demand in California.</w:t>
      </w:r>
    </w:p>
    <w:p>
      <w:pPr>
        <w:pStyle w:val="Normal"/>
        <w:rPr>
          <w:sz w:val="26"/>
          <w:szCs w:val="26"/>
        </w:rPr>
      </w:pPr>
      <w:r>
        <w:rPr>
          <w:sz w:val="26"/>
          <w:szCs w:val="26"/>
        </w:rPr>
      </w:r>
    </w:p>
    <w:p>
      <w:pPr>
        <w:pStyle w:val="Normal"/>
        <w:rPr>
          <w:b/>
          <w:bCs/>
          <w:sz w:val="26"/>
          <w:szCs w:val="26"/>
        </w:rPr>
      </w:pPr>
      <w:r>
        <w:rPr>
          <w:b/>
          <w:bCs/>
          <w:sz w:val="26"/>
          <w:szCs w:val="26"/>
        </w:rPr>
        <w:t>Response:</w:t>
      </w:r>
    </w:p>
    <w:p>
      <w:pPr>
        <w:pStyle w:val="Normal"/>
        <w:rPr>
          <w:b/>
          <w:bCs/>
          <w:sz w:val="26"/>
          <w:szCs w:val="26"/>
        </w:rPr>
      </w:pPr>
      <w:r>
        <w:rPr>
          <w:b/>
          <w:bCs/>
          <w:sz w:val="26"/>
          <w:szCs w:val="26"/>
        </w:rPr>
      </w:r>
    </w:p>
    <w:p>
      <w:pPr>
        <w:pStyle w:val="BodyText"/>
        <w:rPr/>
      </w:pPr>
      <w:r>
        <w:rPr/>
        <w:t xml:space="preserve">See attached transcripts of phone conversations between the ISO and BPA.  The attached transcripts represent the conversations recovered to date from the recordings of conversations between BPA’s real time traders and the ISO.  BPA is continuing to search the files for additional conversations and to the extent others are recovered, BPA will supplement this response.  </w:t>
      </w:r>
    </w:p>
    <w:p>
      <w:pPr>
        <w:pStyle w:val="Normal"/>
        <w:tabs>
          <w:tab w:val="clear" w:pos="720"/>
          <w:tab w:val="left" w:pos="8490" w:leader="none"/>
        </w:tabs>
        <w:rPr>
          <w:sz w:val="26"/>
          <w:szCs w:val="26"/>
        </w:rPr>
      </w:pPr>
      <w:r>
        <w:rPr>
          <w:sz w:val="26"/>
          <w:szCs w:val="26"/>
        </w:rPr>
        <w:tab/>
      </w:r>
    </w:p>
    <w:p>
      <w:pPr>
        <w:pStyle w:val="Normal"/>
        <w:rPr>
          <w:sz w:val="26"/>
          <w:szCs w:val="26"/>
        </w:rPr>
      </w:pPr>
      <w:r>
        <w:rPr>
          <w:b/>
          <w:bCs/>
          <w:sz w:val="26"/>
          <w:szCs w:val="26"/>
        </w:rPr>
        <w:t>Staff/BPA-4</w:t>
      </w:r>
    </w:p>
    <w:p>
      <w:pPr>
        <w:pStyle w:val="Normal"/>
        <w:rPr>
          <w:sz w:val="26"/>
          <w:szCs w:val="26"/>
        </w:rPr>
      </w:pPr>
      <w:r>
        <w:rPr>
          <w:sz w:val="26"/>
          <w:szCs w:val="26"/>
        </w:rPr>
      </w:r>
    </w:p>
    <w:p>
      <w:pPr>
        <w:pStyle w:val="Normal"/>
        <w:rPr>
          <w:sz w:val="26"/>
          <w:szCs w:val="26"/>
        </w:rPr>
      </w:pPr>
      <w:r>
        <w:rPr>
          <w:sz w:val="26"/>
          <w:szCs w:val="26"/>
        </w:rPr>
        <w:t>Referring to Exhibit BPA-1, page 7, lines 5-16, please provide all documents, correspondence, communications, phone logs and the like, that discuss, address or relate to Mr. Mills' statement that BPA made additional energy available to the California ISO on December 25 and 26, 2000.</w:t>
      </w:r>
    </w:p>
    <w:p>
      <w:pPr>
        <w:pStyle w:val="Normal"/>
        <w:rPr>
          <w:sz w:val="26"/>
          <w:szCs w:val="26"/>
        </w:rPr>
      </w:pPr>
      <w:r>
        <w:rPr>
          <w:sz w:val="26"/>
          <w:szCs w:val="26"/>
        </w:rPr>
      </w:r>
    </w:p>
    <w:p>
      <w:pPr>
        <w:pStyle w:val="Normal"/>
        <w:rPr>
          <w:b/>
          <w:bCs/>
          <w:sz w:val="26"/>
          <w:szCs w:val="26"/>
        </w:rPr>
      </w:pPr>
      <w:r>
        <w:rPr>
          <w:b/>
          <w:bCs/>
          <w:sz w:val="26"/>
          <w:szCs w:val="26"/>
        </w:rPr>
        <w:t xml:space="preserve">Response: </w:t>
      </w:r>
    </w:p>
    <w:p>
      <w:pPr>
        <w:pStyle w:val="Normal"/>
        <w:rPr>
          <w:b/>
          <w:bCs/>
          <w:sz w:val="26"/>
          <w:szCs w:val="26"/>
        </w:rPr>
      </w:pPr>
      <w:r>
        <w:rPr>
          <w:b/>
          <w:bCs/>
          <w:sz w:val="26"/>
          <w:szCs w:val="26"/>
        </w:rPr>
      </w:r>
    </w:p>
    <w:p>
      <w:pPr>
        <w:pStyle w:val="Normal"/>
        <w:rPr>
          <w:sz w:val="26"/>
          <w:szCs w:val="26"/>
        </w:rPr>
      </w:pPr>
      <w:r>
        <w:rPr>
          <w:sz w:val="26"/>
          <w:szCs w:val="26"/>
        </w:rPr>
        <w:t>See attached transcripts of the phone conversations for December 26, 2000.</w:t>
      </w:r>
    </w:p>
    <w:p>
      <w:pPr>
        <w:pStyle w:val="Normal"/>
        <w:rPr>
          <w:sz w:val="26"/>
          <w:szCs w:val="26"/>
        </w:rPr>
      </w:pPr>
      <w:r>
        <w:rPr>
          <w:sz w:val="26"/>
          <w:szCs w:val="26"/>
        </w:rPr>
      </w:r>
    </w:p>
    <w:p>
      <w:pPr>
        <w:pStyle w:val="Normal"/>
        <w:rPr>
          <w:sz w:val="26"/>
          <w:szCs w:val="26"/>
        </w:rPr>
      </w:pPr>
      <w:r>
        <w:rPr>
          <w:b/>
          <w:bCs/>
          <w:sz w:val="26"/>
          <w:szCs w:val="26"/>
        </w:rPr>
        <w:t>Staff/BPA-5</w:t>
      </w:r>
    </w:p>
    <w:p>
      <w:pPr>
        <w:pStyle w:val="Normal"/>
        <w:rPr>
          <w:sz w:val="26"/>
          <w:szCs w:val="26"/>
        </w:rPr>
      </w:pPr>
      <w:r>
        <w:rPr>
          <w:sz w:val="26"/>
          <w:szCs w:val="26"/>
        </w:rPr>
      </w:r>
    </w:p>
    <w:p>
      <w:pPr>
        <w:pStyle w:val="Normal"/>
        <w:rPr>
          <w:sz w:val="26"/>
          <w:szCs w:val="26"/>
        </w:rPr>
      </w:pPr>
      <w:r>
        <w:rPr>
          <w:sz w:val="26"/>
          <w:szCs w:val="26"/>
        </w:rPr>
        <w:t>Please refer to Exhibit BPA-1, page 7, lines 6-8.</w:t>
      </w:r>
    </w:p>
    <w:p>
      <w:pPr>
        <w:pStyle w:val="Normal"/>
        <w:rPr>
          <w:sz w:val="26"/>
          <w:szCs w:val="26"/>
        </w:rPr>
      </w:pPr>
      <w:r>
        <w:rPr>
          <w:sz w:val="26"/>
          <w:szCs w:val="26"/>
        </w:rPr>
      </w:r>
    </w:p>
    <w:p>
      <w:pPr>
        <w:sectPr>
          <w:headerReference w:type="default" r:id="rId2"/>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numPr>
          <w:ilvl w:val="0"/>
          <w:numId w:val="3"/>
        </w:numPr>
        <w:tabs>
          <w:tab w:val="clear" w:pos="720"/>
          <w:tab w:val="left" w:pos="-1440" w:leader="none"/>
        </w:tabs>
        <w:rPr>
          <w:sz w:val="26"/>
          <w:szCs w:val="26"/>
          <w:u w:val="single"/>
        </w:rPr>
      </w:pPr>
      <w:r>
        <w:rPr>
          <w:sz w:val="26"/>
          <w:szCs w:val="26"/>
        </w:rPr>
        <w:t xml:space="preserve">Did the California ISO ask BPA to bid its short-term surpluses into its supplemental energy markets?  If yes, please provide please provide all supporting documents, correspondence, communications, phone logs, </w:t>
      </w:r>
      <w:r>
        <w:rPr>
          <w:sz w:val="26"/>
          <w:szCs w:val="26"/>
          <w:u w:val="single"/>
        </w:rPr>
        <w:t>etc.</w:t>
      </w:r>
    </w:p>
    <w:p>
      <w:pPr>
        <w:pStyle w:val="Normal"/>
        <w:tabs>
          <w:tab w:val="clear" w:pos="720"/>
          <w:tab w:val="left" w:pos="-1440" w:leader="none"/>
        </w:tabs>
        <w:rPr>
          <w:sz w:val="26"/>
          <w:szCs w:val="26"/>
          <w:u w:val="single"/>
        </w:rPr>
      </w:pPr>
      <w:r>
        <w:rPr>
          <w:sz w:val="26"/>
          <w:szCs w:val="26"/>
          <w:u w:val="single"/>
        </w:rPr>
      </w:r>
    </w:p>
    <w:p>
      <w:pPr>
        <w:pStyle w:val="Normal"/>
        <w:rPr>
          <w:b/>
          <w:bCs/>
          <w:sz w:val="26"/>
          <w:szCs w:val="26"/>
        </w:rPr>
      </w:pPr>
      <w:r>
        <w:rPr>
          <w:b/>
          <w:bCs/>
          <w:sz w:val="26"/>
          <w:szCs w:val="26"/>
        </w:rPr>
        <w:t>Response:</w:t>
      </w:r>
    </w:p>
    <w:p>
      <w:pPr>
        <w:pStyle w:val="Normal"/>
        <w:rPr>
          <w:b/>
          <w:bCs/>
          <w:sz w:val="26"/>
          <w:szCs w:val="26"/>
        </w:rPr>
      </w:pPr>
      <w:r>
        <w:rPr>
          <w:b/>
          <w:bCs/>
          <w:sz w:val="26"/>
          <w:szCs w:val="26"/>
        </w:rPr>
      </w:r>
    </w:p>
    <w:p>
      <w:pPr>
        <w:pStyle w:val="Normal"/>
        <w:rPr>
          <w:sz w:val="26"/>
          <w:szCs w:val="26"/>
        </w:rPr>
      </w:pPr>
      <w:r>
        <w:rPr>
          <w:sz w:val="26"/>
          <w:szCs w:val="26"/>
        </w:rPr>
        <w:t xml:space="preserve">Yes.  See transcript of phone conversations.  In particular, see the conversation transcripts of January 2, 2001 hour ending 9.  In that conversation the ISO specifically asks for supplemental energy.  </w:t>
      </w:r>
    </w:p>
    <w:p>
      <w:pPr>
        <w:pStyle w:val="Normal"/>
        <w:rPr>
          <w:sz w:val="26"/>
          <w:szCs w:val="26"/>
        </w:rPr>
      </w:pPr>
      <w:r>
        <w:rPr>
          <w:sz w:val="26"/>
          <w:szCs w:val="26"/>
        </w:rPr>
      </w:r>
    </w:p>
    <w:p>
      <w:pPr>
        <w:pStyle w:val="Normal"/>
        <w:numPr>
          <w:ilvl w:val="0"/>
          <w:numId w:val="2"/>
        </w:numPr>
        <w:tabs>
          <w:tab w:val="clear" w:pos="720"/>
          <w:tab w:val="left" w:pos="-1440" w:leader="none"/>
        </w:tabs>
        <w:rPr>
          <w:sz w:val="26"/>
          <w:szCs w:val="26"/>
        </w:rPr>
      </w:pPr>
      <w:r>
        <w:rPr>
          <w:sz w:val="26"/>
          <w:szCs w:val="26"/>
        </w:rPr>
        <w:t>Please explain how bidding into the California ISO supplemental energy markets is consistent with the DOE Orders.  Include specific cites to the DOE Orders with your explanation.</w:t>
      </w:r>
    </w:p>
    <w:p>
      <w:pPr>
        <w:pStyle w:val="Normal"/>
        <w:tabs>
          <w:tab w:val="clear" w:pos="720"/>
          <w:tab w:val="left" w:pos="-1440" w:leader="none"/>
        </w:tabs>
        <w:ind w:start="360" w:end="0"/>
        <w:rPr>
          <w:sz w:val="26"/>
          <w:szCs w:val="26"/>
        </w:rPr>
      </w:pPr>
      <w:r>
        <w:rPr>
          <w:sz w:val="26"/>
          <w:szCs w:val="26"/>
        </w:rPr>
      </w:r>
    </w:p>
    <w:p>
      <w:pPr>
        <w:pStyle w:val="Normal"/>
        <w:tabs>
          <w:tab w:val="clear" w:pos="720"/>
          <w:tab w:val="left" w:pos="-1440" w:leader="none"/>
        </w:tabs>
        <w:rPr>
          <w:b/>
          <w:bCs/>
          <w:sz w:val="26"/>
          <w:szCs w:val="26"/>
        </w:rPr>
      </w:pPr>
      <w:r>
        <w:rPr>
          <w:b/>
          <w:bCs/>
          <w:sz w:val="26"/>
          <w:szCs w:val="26"/>
        </w:rPr>
        <w:t>Response:</w:t>
      </w:r>
    </w:p>
    <w:p>
      <w:pPr>
        <w:pStyle w:val="Normal"/>
        <w:tabs>
          <w:tab w:val="clear" w:pos="720"/>
          <w:tab w:val="left" w:pos="-1440" w:leader="none"/>
        </w:tabs>
        <w:rPr>
          <w:b/>
          <w:bCs/>
          <w:sz w:val="26"/>
          <w:szCs w:val="26"/>
        </w:rPr>
      </w:pPr>
      <w:r>
        <w:rPr>
          <w:b/>
          <w:bCs/>
          <w:sz w:val="26"/>
          <w:szCs w:val="26"/>
        </w:rPr>
      </w:r>
    </w:p>
    <w:p>
      <w:pPr>
        <w:pStyle w:val="Normal"/>
        <w:tabs>
          <w:tab w:val="clear" w:pos="720"/>
          <w:tab w:val="left" w:pos="-1440" w:leader="none"/>
        </w:tabs>
        <w:ind w:start="360" w:end="0"/>
        <w:rPr/>
      </w:pPr>
      <w:r>
        <w:rPr>
          <w:sz w:val="26"/>
          <w:szCs w:val="26"/>
        </w:rPr>
        <w:t xml:space="preserve">There are several factors at play during late December 2000 and early January 2001 that make BPA’s bids into the Supplemental Energy market responsive to the DOE order.  As explained in detail below, the interrelationship between BPA’s own concerns about meeting its load obligations and the manner in which surplus power became available, together with the desire to ensure available transmission for the deliveries and the lack of sufficient bids in the Supplemental market combined to make the Supplemental bids a very efficient way for BPA to respond to the certification.  As the transcription of the calls also demonstrates, the ISO recognized this and preferred BPA bid this energy into the Supplemental market if at all possible. </w:t>
      </w:r>
      <w:r>
        <w:rPr>
          <w:sz w:val="26"/>
        </w:rPr>
        <w:t xml:space="preserve">Compared to OOM transactions that may be initiated within a delivery hour, bidding excess energy in the ISO supplemental energy market provides advance notice to both BPA and the ISO of the generation and transmission required during the delivery hour, reducing the amount of energy the ISO may be required to obtain through OOM transactions, and the demands on the ISO real-time operators to secure energy.  </w:t>
      </w:r>
    </w:p>
    <w:p>
      <w:pPr>
        <w:pStyle w:val="Normal"/>
        <w:tabs>
          <w:tab w:val="clear" w:pos="720"/>
          <w:tab w:val="left" w:pos="-1440" w:leader="none"/>
        </w:tabs>
        <w:ind w:start="360" w:end="0"/>
        <w:rPr>
          <w:sz w:val="26"/>
          <w:szCs w:val="26"/>
        </w:rPr>
      </w:pPr>
      <w:r>
        <w:rPr>
          <w:sz w:val="26"/>
          <w:szCs w:val="26"/>
        </w:rPr>
        <w:t xml:space="preserve"> </w:t>
      </w:r>
    </w:p>
    <w:p>
      <w:pPr>
        <w:pStyle w:val="Normal"/>
        <w:tabs>
          <w:tab w:val="clear" w:pos="720"/>
          <w:tab w:val="left" w:pos="-1440" w:leader="none"/>
        </w:tabs>
        <w:ind w:start="360" w:end="0"/>
        <w:rPr>
          <w:sz w:val="26"/>
          <w:szCs w:val="26"/>
        </w:rPr>
      </w:pPr>
      <w:r>
        <w:rPr>
          <w:sz w:val="26"/>
          <w:szCs w:val="26"/>
        </w:rPr>
      </w:r>
    </w:p>
    <w:p>
      <w:pPr>
        <w:pStyle w:val="Normal"/>
        <w:tabs>
          <w:tab w:val="clear" w:pos="720"/>
          <w:tab w:val="left" w:pos="-1440" w:leader="none"/>
        </w:tabs>
        <w:ind w:start="360" w:end="0"/>
        <w:rPr>
          <w:sz w:val="26"/>
          <w:szCs w:val="26"/>
        </w:rPr>
      </w:pPr>
      <w:r>
        <w:rPr>
          <w:sz w:val="26"/>
          <w:szCs w:val="26"/>
        </w:rPr>
        <w:t xml:space="preserve">As noted in Mr. Mills’ testimony, BPA received the ISO certification notice the day prior to the day in question.  Because BPA had concerns about meeting its own load obligations during this period of high winter demand and persistent drought conditions, BPA generally could not respond to the certificate with a firm amount of energy that would be available the following day.  However, as BPA entered the day, load and generation levels became more certain and surplus power became available for BPA to supply to the ISO.  As this surplus energy became available, BPA bid it into the Supplemental market.  As the day progressed, additional surplus energy became available due to changes in load and generation levels and BPA provided this power to the ISO as well through OOM transactions the hour before delivery.  </w:t>
      </w:r>
    </w:p>
    <w:p>
      <w:pPr>
        <w:pStyle w:val="Normal"/>
        <w:tabs>
          <w:tab w:val="clear" w:pos="720"/>
          <w:tab w:val="left" w:pos="-1440" w:leader="none"/>
        </w:tabs>
        <w:ind w:start="360" w:end="0"/>
        <w:rPr>
          <w:sz w:val="26"/>
          <w:szCs w:val="26"/>
        </w:rPr>
      </w:pPr>
      <w:r>
        <w:rPr>
          <w:sz w:val="26"/>
          <w:szCs w:val="26"/>
        </w:rPr>
      </w:r>
    </w:p>
    <w:p>
      <w:pPr>
        <w:pStyle w:val="Normal"/>
        <w:tabs>
          <w:tab w:val="clear" w:pos="720"/>
          <w:tab w:val="left" w:pos="-1440" w:leader="none"/>
        </w:tabs>
        <w:ind w:start="360" w:end="0"/>
        <w:rPr/>
      </w:pPr>
      <w:r>
        <w:rPr>
          <w:sz w:val="26"/>
          <w:szCs w:val="26"/>
        </w:rPr>
        <w:t xml:space="preserve">BPA provided the surplus energy to the ISO in this manner, in part, </w:t>
      </w:r>
      <w:r>
        <w:rPr>
          <w:sz w:val="26"/>
        </w:rPr>
        <w:t>because it was easier</w:t>
      </w:r>
      <w:r>
        <w:rPr>
          <w:sz w:val="26"/>
          <w:szCs w:val="26"/>
        </w:rPr>
        <w:t xml:space="preserve"> to ensure available firm transmission for the delivery of the excess energy.  In order to respond to the certification, BPA must acquire transmission on the intertie.  On occasion, the intertie may become congested limiting BPA’s ability to send power south.  Bidding surplus energy into the Supplemental market allows BPA to acquire firm transmission on the intertie thus ensuring the delivery of this amount of energy.  Holding the surplus back until the ISO made a real time OOM call forces BPA to acquire non-firm transmission for the transactions potentially jeopardizing the delivery.  By bidding surplus into the Supplemental market BPA ensured </w:t>
      </w:r>
      <w:r>
        <w:rPr>
          <w:sz w:val="26"/>
        </w:rPr>
        <w:t xml:space="preserve">delivery of energy in </w:t>
      </w:r>
      <w:r>
        <w:rPr>
          <w:sz w:val="26"/>
          <w:szCs w:val="26"/>
        </w:rPr>
        <w:t xml:space="preserve">response to the DOE order.  </w:t>
      </w:r>
    </w:p>
    <w:p>
      <w:pPr>
        <w:pStyle w:val="Normal"/>
        <w:tabs>
          <w:tab w:val="clear" w:pos="720"/>
          <w:tab w:val="left" w:pos="-1440" w:leader="none"/>
        </w:tabs>
        <w:ind w:start="360" w:end="0"/>
        <w:rPr>
          <w:sz w:val="26"/>
          <w:szCs w:val="26"/>
        </w:rPr>
      </w:pPr>
      <w:r>
        <w:rPr>
          <w:sz w:val="26"/>
          <w:szCs w:val="26"/>
        </w:rPr>
      </w:r>
    </w:p>
    <w:p>
      <w:pPr>
        <w:pStyle w:val="Normal"/>
        <w:tabs>
          <w:tab w:val="clear" w:pos="720"/>
          <w:tab w:val="left" w:pos="-1440" w:leader="none"/>
        </w:tabs>
        <w:ind w:start="360" w:end="0"/>
        <w:rPr>
          <w:sz w:val="26"/>
          <w:szCs w:val="26"/>
        </w:rPr>
      </w:pPr>
      <w:r>
        <w:rPr>
          <w:sz w:val="26"/>
          <w:szCs w:val="26"/>
        </w:rPr>
        <w:t xml:space="preserve">Under normal conditions, BPA had no guarantee that the ISO would accept a bid into the Supplemental energy market.  However, during this time period, the Supplemental market was very thin and BPA, as well as the ISO, knew that all bids under the capped price were assured of being accepted.  As the evidence demonstrates, the ISO was relying heavily on OOM transactions during this period and preferred BPA provide </w:t>
      </w:r>
      <w:r>
        <w:rPr>
          <w:sz w:val="26"/>
        </w:rPr>
        <w:t xml:space="preserve">provide greater advance notice of energy deliveries and reduce its reliance on real-time OOM transactions, as well as to avoid potentially paying prices above the cap.  The ISO’s certification states that responses to the DOE order can come in the form of bids into its markets, including the Real Time Imbalance Energy Market.  See ISO-13. </w:t>
      </w:r>
    </w:p>
    <w:p>
      <w:pPr>
        <w:pStyle w:val="Normal"/>
        <w:tabs>
          <w:tab w:val="clear" w:pos="720"/>
          <w:tab w:val="left" w:pos="-1440" w:leader="none"/>
        </w:tabs>
        <w:ind w:start="360" w:end="0"/>
        <w:rPr>
          <w:sz w:val="26"/>
          <w:szCs w:val="26"/>
        </w:rPr>
      </w:pPr>
      <w:r>
        <w:rPr>
          <w:sz w:val="26"/>
          <w:szCs w:val="26"/>
        </w:rPr>
      </w:r>
    </w:p>
    <w:p>
      <w:pPr>
        <w:pStyle w:val="Normal"/>
        <w:tabs>
          <w:tab w:val="clear" w:pos="720"/>
          <w:tab w:val="left" w:pos="-1440" w:leader="none"/>
        </w:tabs>
        <w:ind w:start="360" w:end="0"/>
        <w:rPr>
          <w:sz w:val="26"/>
          <w:szCs w:val="26"/>
        </w:rPr>
      </w:pPr>
      <w:r>
        <w:rPr>
          <w:sz w:val="26"/>
          <w:szCs w:val="26"/>
        </w:rPr>
        <w:t xml:space="preserve">BPA understood that compliance with the DOE orders did not entail only one method of response.  DOE specifically instructed the agency to do what ever it could to help keep the lights on in California when the ISO was short.  BPA understood this to mean that the agency should provide energy to the ISO in whatever fashion is possible under the circumstances.  Neither the DOE nor the ISO ever indicated that providing energy in one manner was somehow responsive to the order, while others were not.  BPA was lead to believe that any manner was acceptable and appreciated by the ISO.  </w:t>
      </w:r>
    </w:p>
    <w:p>
      <w:pPr>
        <w:pStyle w:val="Normal"/>
        <w:tabs>
          <w:tab w:val="clear" w:pos="720"/>
          <w:tab w:val="left" w:pos="-1440" w:leader="none"/>
        </w:tabs>
        <w:ind w:start="360" w:end="0"/>
        <w:rPr>
          <w:sz w:val="26"/>
          <w:szCs w:val="26"/>
        </w:rPr>
      </w:pPr>
      <w:r>
        <w:rPr>
          <w:sz w:val="26"/>
          <w:szCs w:val="26"/>
        </w:rPr>
      </w:r>
    </w:p>
    <w:p>
      <w:pPr>
        <w:pStyle w:val="Normal"/>
        <w:tabs>
          <w:tab w:val="clear" w:pos="720"/>
          <w:tab w:val="left" w:pos="-1440" w:leader="none"/>
        </w:tabs>
        <w:ind w:start="360" w:end="0"/>
        <w:rPr>
          <w:sz w:val="26"/>
          <w:szCs w:val="26"/>
        </w:rPr>
      </w:pPr>
      <w:r>
        <w:rPr>
          <w:sz w:val="26"/>
          <w:szCs w:val="26"/>
        </w:rPr>
        <w:t xml:space="preserve">BPA’s organic statutes require it to meet certain load obligations before marketing any surplus power. To the extent that BPA’s generation exceeds its statutory load obligations, that power is surplus by definition.  The ISO and PX are one of many outlets for BPA’s surplus generation.  After it meeting all its statutory preference requirements, BPA looks both in and out of the Pacific Northwest for a purchaser for this surplus energy.  Therefore any power BPA provides to the ISO, either through bids into the markets the ISO operates or through OOM transactions, is the sale of surplus power.  </w:t>
      </w:r>
    </w:p>
    <w:p>
      <w:pPr>
        <w:pStyle w:val="Normal"/>
        <w:tabs>
          <w:tab w:val="clear" w:pos="720"/>
          <w:tab w:val="left" w:pos="-1440" w:leader="none"/>
        </w:tabs>
        <w:ind w:start="360" w:end="0"/>
        <w:rPr>
          <w:sz w:val="26"/>
          <w:szCs w:val="26"/>
        </w:rPr>
      </w:pPr>
      <w:r>
        <w:rPr>
          <w:sz w:val="26"/>
          <w:szCs w:val="26"/>
        </w:rPr>
      </w:r>
    </w:p>
    <w:p>
      <w:pPr>
        <w:pStyle w:val="Normal"/>
        <w:tabs>
          <w:tab w:val="clear" w:pos="720"/>
          <w:tab w:val="left" w:pos="-1440" w:leader="none"/>
        </w:tabs>
        <w:ind w:start="360" w:end="0"/>
        <w:rPr>
          <w:sz w:val="26"/>
          <w:szCs w:val="26"/>
        </w:rPr>
      </w:pPr>
      <w:r>
        <w:rPr>
          <w:sz w:val="26"/>
          <w:szCs w:val="26"/>
        </w:rPr>
        <w:t xml:space="preserve">The DOE orders obligated BPA to provide the excess (surplus) energy to the ISO after meeting firm loads.  The order is silent as to the manner in which BPA or any other entity could comply with the order.  Therefore, BPA offered the surplus power to the ISO in the most practical and reliable fashion depending upon circumstances without regard to whether it bid the power into the Supplemental market or sold it through an OOM.  </w:t>
      </w:r>
    </w:p>
    <w:p>
      <w:pPr>
        <w:pStyle w:val="Normal"/>
        <w:tabs>
          <w:tab w:val="clear" w:pos="720"/>
          <w:tab w:val="left" w:pos="-1440" w:leader="none"/>
        </w:tabs>
        <w:ind w:start="360" w:end="0"/>
        <w:rPr>
          <w:sz w:val="26"/>
          <w:szCs w:val="26"/>
        </w:rPr>
      </w:pPr>
      <w:r>
        <w:rPr>
          <w:sz w:val="26"/>
          <w:szCs w:val="26"/>
        </w:rPr>
      </w:r>
    </w:p>
    <w:p>
      <w:pPr>
        <w:pStyle w:val="Normal"/>
        <w:rPr>
          <w:sz w:val="26"/>
          <w:szCs w:val="26"/>
        </w:rPr>
      </w:pPr>
      <w:r>
        <w:rPr>
          <w:sz w:val="26"/>
          <w:szCs w:val="26"/>
        </w:rPr>
      </w:r>
    </w:p>
    <w:p>
      <w:pPr>
        <w:pStyle w:val="Normal"/>
        <w:rPr>
          <w:sz w:val="26"/>
          <w:szCs w:val="26"/>
        </w:rPr>
      </w:pPr>
      <w:r>
        <w:rPr>
          <w:b/>
          <w:bCs/>
          <w:sz w:val="26"/>
          <w:szCs w:val="26"/>
        </w:rPr>
        <w:t>Staff/BPA-6</w:t>
      </w:r>
    </w:p>
    <w:p>
      <w:pPr>
        <w:pStyle w:val="Normal"/>
        <w:rPr>
          <w:sz w:val="26"/>
          <w:szCs w:val="26"/>
        </w:rPr>
      </w:pPr>
      <w:r>
        <w:rPr>
          <w:sz w:val="26"/>
          <w:szCs w:val="26"/>
        </w:rPr>
      </w:r>
    </w:p>
    <w:p>
      <w:pPr>
        <w:pStyle w:val="Normal"/>
        <w:rPr>
          <w:sz w:val="26"/>
          <w:szCs w:val="26"/>
        </w:rPr>
      </w:pPr>
      <w:r>
        <w:rPr>
          <w:sz w:val="26"/>
          <w:szCs w:val="26"/>
        </w:rPr>
        <w:t>Referring to Exhibit BPA-1, page 8, lines 8-10, please provide all documents, correspondence, communications, phone logs and the like, that discuss, address or relate to Mr. Mills' statement that on December 26, 2000, the California ISO contacted BPA and requested BPA to block out 15,000 MWh per day through December 31.</w:t>
      </w:r>
    </w:p>
    <w:p>
      <w:pPr>
        <w:pStyle w:val="Normal"/>
        <w:rPr>
          <w:sz w:val="26"/>
          <w:szCs w:val="26"/>
        </w:rPr>
      </w:pPr>
      <w:r>
        <w:rPr>
          <w:sz w:val="26"/>
          <w:szCs w:val="26"/>
        </w:rPr>
      </w:r>
    </w:p>
    <w:p>
      <w:pPr>
        <w:pStyle w:val="Normal"/>
        <w:rPr>
          <w:b/>
          <w:bCs/>
          <w:sz w:val="26"/>
          <w:szCs w:val="26"/>
        </w:rPr>
      </w:pPr>
      <w:r>
        <w:rPr>
          <w:b/>
          <w:bCs/>
          <w:sz w:val="26"/>
          <w:szCs w:val="26"/>
        </w:rPr>
        <w:t>Response:</w:t>
      </w:r>
    </w:p>
    <w:p>
      <w:pPr>
        <w:pStyle w:val="Normal"/>
        <w:rPr>
          <w:b/>
          <w:bCs/>
          <w:sz w:val="26"/>
          <w:szCs w:val="26"/>
        </w:rPr>
      </w:pPr>
      <w:r>
        <w:rPr>
          <w:b/>
          <w:bCs/>
          <w:sz w:val="26"/>
          <w:szCs w:val="26"/>
        </w:rPr>
      </w:r>
    </w:p>
    <w:p>
      <w:pPr>
        <w:pStyle w:val="Normal"/>
        <w:rPr>
          <w:sz w:val="26"/>
          <w:szCs w:val="26"/>
        </w:rPr>
      </w:pPr>
      <w:r>
        <w:rPr>
          <w:sz w:val="26"/>
          <w:szCs w:val="26"/>
        </w:rPr>
        <w:t xml:space="preserve">Attached are the documents responsive to the request.  To better understand why this transaction responds to the certification the specifics of the transaction need to be understood.  The transaction is best described as a series of conditional one-day transactions arranged in advance rather than a single five-day transaction.  Rather than being a fixed 15,000 MWhs for the five days, as noted in the log notes, the quantity was soft and could be reduced by BPA depending upon system load. If BPA’s loads increased to the point that it needed the power to serve loads in the Pacific Northwest, the energy would be cut.  Each day BPA made an assessment of its loads and determined whether the power was needed in the region to serve BPA’s loads.  The ISO’s right to receive the power was contingent on BPA’s level of load.  In addition, the ISO had the ability to shape the amount over the day, such that the ISO could vary the delivery over each day.  Therefore, to the extent BPA delivered the power, the ISO could shape the amount making each day potentially different depending upon the ISO’s need.  </w:t>
      </w:r>
    </w:p>
    <w:p>
      <w:pPr>
        <w:pStyle w:val="Normal"/>
        <w:rPr>
          <w:sz w:val="26"/>
          <w:szCs w:val="26"/>
        </w:rPr>
      </w:pPr>
      <w:r>
        <w:rPr>
          <w:sz w:val="26"/>
          <w:szCs w:val="26"/>
        </w:rPr>
      </w:r>
    </w:p>
    <w:p>
      <w:pPr>
        <w:pStyle w:val="Normal"/>
        <w:rPr>
          <w:sz w:val="26"/>
          <w:szCs w:val="26"/>
        </w:rPr>
      </w:pPr>
      <w:r>
        <w:rPr>
          <w:sz w:val="26"/>
          <w:szCs w:val="26"/>
        </w:rPr>
        <w:t xml:space="preserve">Finally, the ISO’s own statements in the certification for December 26, 2000 indicates that it did not anticipate the deficit condition to continue presumably for some time.  When the ISO certified its shortage to the DOE, it stated that it did not expect a change in circumstances absent a significant reduction in demand or increase in generation levels.  It noted however, the age of the units currently on line and the high level of demand on those units made them increasingly more difficult to operate and maintain.  Given these representations by the ISO, BPA reasonably believed that the need would continue beyond December 26, 2000.  </w:t>
      </w:r>
    </w:p>
    <w:p>
      <w:pPr>
        <w:pStyle w:val="Normal"/>
        <w:rPr>
          <w:sz w:val="26"/>
          <w:szCs w:val="26"/>
        </w:rPr>
      </w:pPr>
      <w:r>
        <w:rPr>
          <w:sz w:val="26"/>
          <w:szCs w:val="26"/>
        </w:rPr>
      </w:r>
    </w:p>
    <w:p>
      <w:pPr>
        <w:pStyle w:val="Normal"/>
        <w:rPr>
          <w:sz w:val="26"/>
          <w:szCs w:val="26"/>
        </w:rPr>
      </w:pPr>
      <w:r>
        <w:rPr>
          <w:b/>
          <w:bCs/>
          <w:sz w:val="26"/>
          <w:szCs w:val="26"/>
        </w:rPr>
        <w:t>Staff/BPA-7</w:t>
      </w:r>
    </w:p>
    <w:p>
      <w:pPr>
        <w:pStyle w:val="Normal"/>
        <w:rPr>
          <w:sz w:val="26"/>
          <w:szCs w:val="26"/>
        </w:rPr>
      </w:pPr>
      <w:r>
        <w:rPr>
          <w:sz w:val="26"/>
          <w:szCs w:val="26"/>
        </w:rPr>
      </w:r>
    </w:p>
    <w:p>
      <w:pPr>
        <w:pStyle w:val="BodyText"/>
        <w:rPr/>
      </w:pPr>
      <w:r>
        <w:rPr/>
        <w:t>Referring to Exhibit BPA-1, lines 20-21, please provide all cites to the DOE Orders that provide for multi-day transactions.</w:t>
      </w:r>
    </w:p>
    <w:p>
      <w:pPr>
        <w:pStyle w:val="Normal"/>
        <w:rPr>
          <w:sz w:val="26"/>
          <w:szCs w:val="26"/>
        </w:rPr>
      </w:pPr>
      <w:r>
        <w:rPr>
          <w:sz w:val="26"/>
          <w:szCs w:val="26"/>
        </w:rPr>
      </w:r>
    </w:p>
    <w:p>
      <w:pPr>
        <w:pStyle w:val="Heading1"/>
        <w:ind w:hanging="0" w:start="0"/>
        <w:rPr/>
      </w:pPr>
      <w:r>
        <w:rPr/>
        <w:t>Response:</w:t>
      </w:r>
    </w:p>
    <w:p>
      <w:pPr>
        <w:pStyle w:val="Normal"/>
        <w:rPr/>
      </w:pPr>
      <w:r>
        <w:rPr/>
      </w:r>
    </w:p>
    <w:p>
      <w:pPr>
        <w:pStyle w:val="Normal"/>
        <w:rPr>
          <w:sz w:val="26"/>
          <w:szCs w:val="26"/>
        </w:rPr>
      </w:pPr>
      <w:r>
        <w:rPr>
          <w:sz w:val="26"/>
          <w:szCs w:val="26"/>
        </w:rPr>
        <w:t xml:space="preserve">The DOE order does include or exclude any transaction from consideration.  As noted in the response to Staff/BPA-6 the transaction was actually a series of single day transactions negotiated in advance rather than a true multi-day transaction.  </w:t>
      </w:r>
    </w:p>
    <w:p>
      <w:pPr>
        <w:pStyle w:val="Normal"/>
        <w:rPr>
          <w:sz w:val="26"/>
          <w:szCs w:val="26"/>
        </w:rPr>
      </w:pPr>
      <w:r>
        <w:rPr>
          <w:sz w:val="26"/>
          <w:szCs w:val="26"/>
        </w:rPr>
      </w:r>
    </w:p>
    <w:p>
      <w:pPr>
        <w:pStyle w:val="Normal"/>
        <w:rPr>
          <w:sz w:val="26"/>
          <w:szCs w:val="26"/>
        </w:rPr>
      </w:pPr>
      <w:r>
        <w:rPr>
          <w:b/>
          <w:bCs/>
          <w:sz w:val="26"/>
          <w:szCs w:val="26"/>
        </w:rPr>
        <w:t>Staff/BPA-8</w:t>
      </w:r>
    </w:p>
    <w:p>
      <w:pPr>
        <w:pStyle w:val="Normal"/>
        <w:rPr>
          <w:sz w:val="26"/>
          <w:szCs w:val="26"/>
        </w:rPr>
      </w:pPr>
      <w:r>
        <w:rPr>
          <w:sz w:val="26"/>
          <w:szCs w:val="26"/>
        </w:rPr>
      </w:r>
    </w:p>
    <w:p>
      <w:pPr>
        <w:pStyle w:val="Normal"/>
        <w:rPr>
          <w:sz w:val="26"/>
          <w:szCs w:val="26"/>
        </w:rPr>
      </w:pPr>
      <w:r>
        <w:rPr>
          <w:sz w:val="26"/>
          <w:szCs w:val="26"/>
        </w:rPr>
        <w:t>Referring to BPA-1, page 9, lines 1-2, Mr. Mills states that certain transactions on December 27 and 28, 2000 qualify for exemption from refunds under the DOE order and a reference is made to column D in BPA-1.  Please provide a copy of the chart to which he refers in BPA-1.</w:t>
      </w:r>
    </w:p>
    <w:p>
      <w:pPr>
        <w:pStyle w:val="Normal"/>
        <w:rPr>
          <w:sz w:val="26"/>
          <w:szCs w:val="26"/>
        </w:rPr>
      </w:pPr>
      <w:r>
        <w:rPr>
          <w:sz w:val="26"/>
          <w:szCs w:val="26"/>
        </w:rPr>
      </w:r>
    </w:p>
    <w:p>
      <w:pPr>
        <w:pStyle w:val="Normal"/>
        <w:rPr>
          <w:b/>
          <w:bCs/>
          <w:sz w:val="26"/>
          <w:szCs w:val="26"/>
        </w:rPr>
      </w:pPr>
      <w:r>
        <w:rPr>
          <w:b/>
          <w:bCs/>
          <w:sz w:val="26"/>
          <w:szCs w:val="26"/>
        </w:rPr>
        <w:t>Response:</w:t>
      </w:r>
    </w:p>
    <w:p>
      <w:pPr>
        <w:pStyle w:val="Normal"/>
        <w:rPr>
          <w:b/>
          <w:bCs/>
          <w:sz w:val="26"/>
          <w:szCs w:val="26"/>
        </w:rPr>
      </w:pPr>
      <w:r>
        <w:rPr>
          <w:b/>
          <w:bCs/>
          <w:sz w:val="26"/>
          <w:szCs w:val="26"/>
        </w:rPr>
      </w:r>
    </w:p>
    <w:p>
      <w:pPr>
        <w:pStyle w:val="Normal"/>
        <w:rPr>
          <w:sz w:val="26"/>
          <w:szCs w:val="26"/>
        </w:rPr>
      </w:pPr>
      <w:r>
        <w:rPr>
          <w:sz w:val="26"/>
          <w:szCs w:val="26"/>
        </w:rPr>
        <w:t>The reference to BPA-1 is a typographical error.  The proper reference is BPA-2 and the quantities are noted there.</w:t>
      </w:r>
    </w:p>
    <w:p>
      <w:pPr>
        <w:pStyle w:val="Normal"/>
        <w:rPr>
          <w:sz w:val="26"/>
          <w:szCs w:val="26"/>
        </w:rPr>
      </w:pPr>
      <w:r>
        <w:rPr>
          <w:sz w:val="26"/>
          <w:szCs w:val="26"/>
        </w:rPr>
      </w:r>
    </w:p>
    <w:p>
      <w:pPr>
        <w:pStyle w:val="Normal"/>
        <w:rPr>
          <w:sz w:val="26"/>
          <w:szCs w:val="26"/>
        </w:rPr>
      </w:pPr>
      <w:r>
        <w:rPr>
          <w:b/>
          <w:bCs/>
          <w:sz w:val="26"/>
          <w:szCs w:val="26"/>
        </w:rPr>
        <w:t>Staff/BPA-9</w:t>
      </w:r>
    </w:p>
    <w:p>
      <w:pPr>
        <w:pStyle w:val="Normal"/>
        <w:rPr>
          <w:sz w:val="26"/>
          <w:szCs w:val="26"/>
        </w:rPr>
      </w:pPr>
      <w:r>
        <w:rPr>
          <w:sz w:val="26"/>
          <w:szCs w:val="26"/>
        </w:rPr>
      </w:r>
    </w:p>
    <w:p>
      <w:pPr>
        <w:pStyle w:val="Normal"/>
        <w:rPr>
          <w:sz w:val="26"/>
          <w:szCs w:val="26"/>
        </w:rPr>
      </w:pPr>
      <w:r>
        <w:rPr>
          <w:sz w:val="26"/>
          <w:szCs w:val="26"/>
        </w:rPr>
        <w:t>Referring to Exhibit BPA-1, page 9, lines 5-6, please provide all documents, correspondence, communications, phone logs and the like, that discuss, address or relate to Mr. Mills' statement that on December 27 and 28, 2000, the California ISO pressed BPA to supply additional energy.</w:t>
      </w:r>
    </w:p>
    <w:p>
      <w:pPr>
        <w:pStyle w:val="Normal"/>
        <w:rPr>
          <w:sz w:val="26"/>
          <w:szCs w:val="26"/>
        </w:rPr>
      </w:pPr>
      <w:r>
        <w:rPr>
          <w:sz w:val="26"/>
          <w:szCs w:val="26"/>
        </w:rPr>
      </w:r>
    </w:p>
    <w:p>
      <w:pPr>
        <w:pStyle w:val="Normal"/>
        <w:rPr>
          <w:b/>
          <w:bCs/>
          <w:sz w:val="26"/>
          <w:szCs w:val="26"/>
        </w:rPr>
      </w:pPr>
      <w:r>
        <w:rPr>
          <w:b/>
          <w:bCs/>
          <w:sz w:val="26"/>
          <w:szCs w:val="26"/>
        </w:rPr>
        <w:t>Response:</w:t>
      </w:r>
    </w:p>
    <w:p>
      <w:pPr>
        <w:pStyle w:val="Normal"/>
        <w:rPr>
          <w:b/>
          <w:bCs/>
          <w:sz w:val="26"/>
          <w:szCs w:val="26"/>
        </w:rPr>
      </w:pPr>
      <w:r>
        <w:rPr>
          <w:b/>
          <w:bCs/>
          <w:sz w:val="26"/>
          <w:szCs w:val="26"/>
        </w:rPr>
      </w:r>
    </w:p>
    <w:p>
      <w:pPr>
        <w:pStyle w:val="Normal"/>
        <w:rPr>
          <w:sz w:val="26"/>
          <w:szCs w:val="26"/>
        </w:rPr>
      </w:pPr>
      <w:r>
        <w:rPr>
          <w:sz w:val="26"/>
          <w:szCs w:val="26"/>
        </w:rPr>
        <w:t xml:space="preserve">Please refer to the attached transcript of phone conversations in which on several of the relevant days the ISO called every virtually every hour asking for additional energy.  </w:t>
      </w:r>
    </w:p>
    <w:p>
      <w:pPr>
        <w:pStyle w:val="Normal"/>
        <w:rPr>
          <w:sz w:val="26"/>
          <w:szCs w:val="26"/>
        </w:rPr>
      </w:pPr>
      <w:r>
        <w:rPr>
          <w:sz w:val="26"/>
          <w:szCs w:val="26"/>
        </w:rPr>
      </w:r>
    </w:p>
    <w:p>
      <w:pPr>
        <w:sectPr>
          <w:type w:val="continuous"/>
          <w:pgSz w:w="12240" w:h="15840"/>
          <w:pgMar w:left="1440" w:right="1440" w:gutter="0" w:header="1440" w:top="1496" w:footer="0" w:bottom="1440"/>
          <w:formProt w:val="false"/>
          <w:textDirection w:val="lrTb"/>
          <w:docGrid w:type="default" w:linePitch="360" w:charSpace="0"/>
        </w:sectPr>
      </w:pPr>
    </w:p>
    <w:p>
      <w:pPr>
        <w:pStyle w:val="Normal"/>
        <w:keepNext w:val="true"/>
        <w:keepLines/>
        <w:rPr>
          <w:sz w:val="26"/>
          <w:szCs w:val="26"/>
        </w:rPr>
      </w:pPr>
      <w:r>
        <w:rPr>
          <w:b/>
          <w:bCs/>
          <w:sz w:val="26"/>
          <w:szCs w:val="26"/>
        </w:rPr>
        <w:t>Staff/BPA-10</w:t>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t>Referring to Exhibit BPA-1, page 9, lines 16-22,</w:t>
      </w:r>
    </w:p>
    <w:p>
      <w:pPr>
        <w:pStyle w:val="Normal"/>
        <w:keepNext w:val="true"/>
        <w:keepLines/>
        <w:rPr>
          <w:sz w:val="26"/>
          <w:szCs w:val="26"/>
        </w:rPr>
      </w:pPr>
      <w:r>
        <w:rPr>
          <w:sz w:val="26"/>
          <w:szCs w:val="26"/>
        </w:rPr>
      </w:r>
    </w:p>
    <w:p>
      <w:pPr>
        <w:pStyle w:val="Normal"/>
        <w:keepLines/>
        <w:tabs>
          <w:tab w:val="clear" w:pos="720"/>
          <w:tab w:val="left" w:pos="-1440" w:leader="none"/>
        </w:tabs>
        <w:ind w:hanging="720" w:start="720" w:end="0"/>
        <w:rPr>
          <w:sz w:val="26"/>
          <w:szCs w:val="26"/>
        </w:rPr>
      </w:pPr>
      <w:r>
        <w:rPr>
          <w:sz w:val="26"/>
          <w:szCs w:val="26"/>
        </w:rPr>
        <w:t>a)</w:t>
        <w:tab/>
        <w:t>please provide all documents, correspondence, communications, phone logs and the like, addressing BPA’s agreement to make 1000 MW available to the California ISO during the hours 7 through 22.</w:t>
      </w:r>
    </w:p>
    <w:p>
      <w:pPr>
        <w:pStyle w:val="Normal"/>
        <w:rPr>
          <w:sz w:val="26"/>
          <w:szCs w:val="26"/>
        </w:rPr>
      </w:pPr>
      <w:r>
        <w:rPr>
          <w:sz w:val="26"/>
          <w:szCs w:val="26"/>
        </w:rPr>
      </w:r>
    </w:p>
    <w:p>
      <w:pPr>
        <w:pStyle w:val="Normal"/>
        <w:numPr>
          <w:ilvl w:val="0"/>
          <w:numId w:val="3"/>
        </w:numPr>
        <w:tabs>
          <w:tab w:val="clear" w:pos="720"/>
          <w:tab w:val="left" w:pos="-1440" w:leader="none"/>
        </w:tabs>
        <w:rPr>
          <w:sz w:val="26"/>
          <w:szCs w:val="26"/>
        </w:rPr>
      </w:pPr>
      <w:r>
        <w:rPr>
          <w:sz w:val="26"/>
          <w:szCs w:val="26"/>
        </w:rPr>
        <w:t>please provide all documents, correspondence, communications, phone logs and the like, that discuss, address or relate to Mr. Mills' statement that on January 2, 2001, the California ISO made real-time OOM calls to BPA requesting additional energy and that these calls were made in accordance with the DOE orders.</w:t>
      </w:r>
    </w:p>
    <w:p>
      <w:pPr>
        <w:pStyle w:val="Normal"/>
        <w:tabs>
          <w:tab w:val="clear" w:pos="720"/>
          <w:tab w:val="left" w:pos="-1440" w:leader="none"/>
        </w:tabs>
        <w:ind w:start="360" w:end="0"/>
        <w:rPr>
          <w:sz w:val="26"/>
          <w:szCs w:val="26"/>
        </w:rPr>
      </w:pPr>
      <w:r>
        <w:rPr>
          <w:sz w:val="26"/>
          <w:szCs w:val="26"/>
        </w:rPr>
      </w:r>
    </w:p>
    <w:p>
      <w:pPr>
        <w:pStyle w:val="Normal"/>
        <w:tabs>
          <w:tab w:val="clear" w:pos="720"/>
          <w:tab w:val="left" w:pos="-1440" w:leader="none"/>
        </w:tabs>
        <w:rPr>
          <w:b/>
          <w:bCs/>
          <w:sz w:val="26"/>
          <w:szCs w:val="26"/>
        </w:rPr>
      </w:pPr>
      <w:r>
        <w:rPr>
          <w:b/>
          <w:bCs/>
          <w:sz w:val="26"/>
          <w:szCs w:val="26"/>
        </w:rPr>
        <w:t>Response:</w:t>
      </w:r>
    </w:p>
    <w:p>
      <w:pPr>
        <w:pStyle w:val="Normal"/>
        <w:tabs>
          <w:tab w:val="clear" w:pos="720"/>
          <w:tab w:val="left" w:pos="-1440" w:leader="none"/>
        </w:tabs>
        <w:rPr>
          <w:b/>
          <w:bCs/>
          <w:sz w:val="26"/>
          <w:szCs w:val="26"/>
        </w:rPr>
      </w:pPr>
      <w:r>
        <w:rPr>
          <w:b/>
          <w:bCs/>
          <w:sz w:val="26"/>
          <w:szCs w:val="26"/>
        </w:rPr>
      </w:r>
    </w:p>
    <w:p>
      <w:pPr>
        <w:pStyle w:val="BodyText"/>
        <w:rPr/>
      </w:pPr>
      <w:r>
        <w:rPr/>
        <w:t xml:space="preserve">See response to Staff/BPA-3 and in particular the transcripts of January 2, 2001.  </w:t>
      </w:r>
    </w:p>
    <w:p>
      <w:pPr>
        <w:pStyle w:val="Normal"/>
        <w:rPr>
          <w:sz w:val="26"/>
          <w:szCs w:val="26"/>
        </w:rPr>
      </w:pPr>
      <w:r>
        <w:rPr>
          <w:sz w:val="26"/>
          <w:szCs w:val="26"/>
        </w:rPr>
      </w:r>
    </w:p>
    <w:p>
      <w:pPr>
        <w:pStyle w:val="Normal"/>
        <w:rPr>
          <w:sz w:val="26"/>
          <w:szCs w:val="26"/>
        </w:rPr>
      </w:pPr>
      <w:r>
        <w:rPr>
          <w:b/>
          <w:bCs/>
          <w:sz w:val="26"/>
          <w:szCs w:val="26"/>
        </w:rPr>
        <w:t>Staff/BPA-11</w:t>
      </w:r>
    </w:p>
    <w:p>
      <w:pPr>
        <w:pStyle w:val="Normal"/>
        <w:rPr>
          <w:sz w:val="26"/>
          <w:szCs w:val="26"/>
        </w:rPr>
      </w:pPr>
      <w:r>
        <w:rPr>
          <w:sz w:val="26"/>
          <w:szCs w:val="26"/>
        </w:rPr>
      </w:r>
    </w:p>
    <w:p>
      <w:pPr>
        <w:pStyle w:val="BodyTextIndent"/>
        <w:rPr/>
      </w:pPr>
      <w:r>
        <w:rPr/>
        <w:t xml:space="preserve">Shown on </w:t>
        <w:tab/>
        <w:t xml:space="preserve">Exhibit BPA-1, page 12 is a chart with two columns.  Column B is entitled "Amount of Energy Reported by ISO as Resulting from Certification."  Were any of the MWhs reflected in Column B from BPA?  If yes, please specify.  </w:t>
      </w:r>
    </w:p>
    <w:p>
      <w:pPr>
        <w:pStyle w:val="Normal"/>
        <w:tabs>
          <w:tab w:val="clear" w:pos="720"/>
          <w:tab w:val="left" w:pos="-1440" w:leader="none"/>
        </w:tabs>
        <w:ind w:hanging="7200" w:start="7200" w:end="0"/>
        <w:rPr>
          <w:sz w:val="26"/>
          <w:szCs w:val="26"/>
        </w:rPr>
      </w:pPr>
      <w:r>
        <w:rPr>
          <w:sz w:val="26"/>
          <w:szCs w:val="26"/>
        </w:rPr>
      </w:r>
    </w:p>
    <w:p>
      <w:pPr>
        <w:pStyle w:val="Normal"/>
        <w:tabs>
          <w:tab w:val="clear" w:pos="720"/>
          <w:tab w:val="left" w:pos="-1440" w:leader="none"/>
        </w:tabs>
        <w:ind w:hanging="7200" w:start="7200" w:end="0"/>
        <w:rPr>
          <w:b/>
          <w:bCs/>
          <w:sz w:val="26"/>
          <w:szCs w:val="26"/>
        </w:rPr>
      </w:pPr>
      <w:r>
        <w:rPr>
          <w:b/>
          <w:bCs/>
          <w:sz w:val="26"/>
          <w:szCs w:val="26"/>
        </w:rPr>
        <w:t>Response:</w:t>
      </w:r>
    </w:p>
    <w:p>
      <w:pPr>
        <w:pStyle w:val="BodyText"/>
        <w:rPr>
          <w:b/>
          <w:bCs/>
          <w:sz w:val="26"/>
          <w:szCs w:val="26"/>
        </w:rPr>
      </w:pPr>
      <w:r>
        <w:rPr>
          <w:b/>
          <w:bCs/>
          <w:sz w:val="26"/>
          <w:szCs w:val="26"/>
        </w:rPr>
      </w:r>
    </w:p>
    <w:p>
      <w:pPr>
        <w:pStyle w:val="BodyText"/>
        <w:rPr/>
      </w:pPr>
      <w:r>
        <w:rPr/>
        <w:t>The ISO did not provide sufficient evidence in their certifications to determine whether some of the MWs in column B are from BPA or any other supplier subject to the DOE order.  ISO analyses in support of its certifications reported a range of MW amounts received for previous certification days, but did not indicate which amounts applied to which hours, so it is not possible from the information provided to determine whether amounts BPA provided in a given hour were accounted for in the ISO reports.  BPA believes that it did in fact provide some of the MWhs on the days for which it is seeking an exemption from refund liability.  However, the information provided by the ISO only indicates that suppliers responded at the levels indicated in the certification, and does not state the name of the individual supplier or amounts each provided.  The purpose of the chart is to demonstrate that at the time of the transactions the ISO clearly understood that suppliers responded to the certifications.</w:t>
      </w:r>
    </w:p>
    <w:p>
      <w:pPr>
        <w:pStyle w:val="Normal"/>
        <w:rPr>
          <w:sz w:val="26"/>
          <w:szCs w:val="26"/>
        </w:rPr>
      </w:pPr>
      <w:r>
        <w:rPr>
          <w:sz w:val="26"/>
          <w:szCs w:val="26"/>
        </w:rPr>
      </w:r>
    </w:p>
    <w:p>
      <w:pPr>
        <w:pStyle w:val="Normal"/>
        <w:rPr>
          <w:sz w:val="26"/>
          <w:szCs w:val="26"/>
        </w:rPr>
      </w:pPr>
      <w:r>
        <w:rPr>
          <w:b/>
          <w:bCs/>
          <w:sz w:val="26"/>
          <w:szCs w:val="26"/>
        </w:rPr>
        <w:t>Staff/BPA-12</w:t>
      </w:r>
    </w:p>
    <w:p>
      <w:pPr>
        <w:pStyle w:val="Normal"/>
        <w:rPr>
          <w:sz w:val="26"/>
          <w:szCs w:val="26"/>
        </w:rPr>
      </w:pPr>
      <w:r>
        <w:rPr>
          <w:sz w:val="26"/>
          <w:szCs w:val="26"/>
        </w:rPr>
      </w:r>
    </w:p>
    <w:p>
      <w:pPr>
        <w:pStyle w:val="Normal"/>
        <w:rPr>
          <w:sz w:val="26"/>
          <w:szCs w:val="26"/>
        </w:rPr>
      </w:pPr>
      <w:r>
        <w:rPr>
          <w:sz w:val="26"/>
          <w:szCs w:val="26"/>
        </w:rPr>
        <w:t>Referring to Exhibit BPA-1, page 13, lines 17-19, other than the certification letters the California ISO sent to DOE that Mr. Mills references in his testimony, does Mr. Mills have any supporting documentation, correspondence, communications, phone logs and the like, that discuss, address or relate to Mr. Mills' statement that BPA understood from the California ISO that any means of supplying energy during the certification dates was acceptable and would qualify as a transaction performed in accordance with the DOE orders.</w:t>
      </w:r>
    </w:p>
    <w:p>
      <w:pPr>
        <w:pStyle w:val="Normal"/>
        <w:rPr>
          <w:sz w:val="26"/>
          <w:szCs w:val="26"/>
        </w:rPr>
      </w:pPr>
      <w:r>
        <w:rPr>
          <w:sz w:val="26"/>
          <w:szCs w:val="26"/>
        </w:rPr>
      </w:r>
    </w:p>
    <w:p>
      <w:pPr>
        <w:pStyle w:val="Normal"/>
        <w:rPr>
          <w:b/>
          <w:bCs/>
          <w:sz w:val="26"/>
          <w:szCs w:val="26"/>
        </w:rPr>
      </w:pPr>
      <w:r>
        <w:rPr>
          <w:b/>
          <w:bCs/>
          <w:sz w:val="26"/>
          <w:szCs w:val="26"/>
        </w:rPr>
        <w:t>Response:</w:t>
      </w:r>
    </w:p>
    <w:p>
      <w:pPr>
        <w:pStyle w:val="Normal"/>
        <w:rPr>
          <w:b/>
          <w:bCs/>
          <w:sz w:val="26"/>
          <w:szCs w:val="26"/>
        </w:rPr>
      </w:pPr>
      <w:r>
        <w:rPr>
          <w:b/>
          <w:bCs/>
          <w:sz w:val="26"/>
          <w:szCs w:val="26"/>
        </w:rPr>
      </w:r>
    </w:p>
    <w:p>
      <w:pPr>
        <w:pStyle w:val="Normal"/>
        <w:rPr>
          <w:sz w:val="26"/>
          <w:szCs w:val="26"/>
        </w:rPr>
      </w:pPr>
      <w:r>
        <w:rPr>
          <w:sz w:val="26"/>
          <w:szCs w:val="26"/>
        </w:rPr>
        <w:t>See response to Staff/BPA-7.</w:t>
      </w:r>
    </w:p>
    <w:p>
      <w:pPr>
        <w:pStyle w:val="Normal"/>
        <w:rPr>
          <w:sz w:val="26"/>
          <w:szCs w:val="26"/>
        </w:rPr>
      </w:pPr>
      <w:r>
        <w:rPr>
          <w:sz w:val="26"/>
          <w:szCs w:val="26"/>
        </w:rPr>
      </w:r>
    </w:p>
    <w:p>
      <w:pPr>
        <w:pStyle w:val="Normal"/>
        <w:rPr>
          <w:sz w:val="26"/>
          <w:szCs w:val="26"/>
        </w:rPr>
      </w:pPr>
      <w:r>
        <w:rPr>
          <w:b/>
          <w:bCs/>
          <w:sz w:val="26"/>
          <w:szCs w:val="26"/>
        </w:rPr>
        <w:t>Staff/BPA-13</w:t>
      </w:r>
    </w:p>
    <w:p>
      <w:pPr>
        <w:pStyle w:val="Normal"/>
        <w:rPr>
          <w:sz w:val="26"/>
          <w:szCs w:val="26"/>
        </w:rPr>
      </w:pPr>
      <w:r>
        <w:rPr>
          <w:sz w:val="26"/>
          <w:szCs w:val="26"/>
        </w:rPr>
      </w:r>
    </w:p>
    <w:p>
      <w:pPr>
        <w:pStyle w:val="Normal"/>
        <w:rPr>
          <w:sz w:val="26"/>
          <w:szCs w:val="26"/>
        </w:rPr>
      </w:pPr>
      <w:r>
        <w:rPr>
          <w:sz w:val="26"/>
          <w:szCs w:val="26"/>
        </w:rPr>
        <w:t>Referring to Exhibit BPA-1, page 14, lines 12-14, please specify the errors by the real-time operators in documenting OOM sales.</w:t>
      </w:r>
    </w:p>
    <w:p>
      <w:pPr>
        <w:pStyle w:val="Normal"/>
        <w:rPr>
          <w:sz w:val="26"/>
          <w:szCs w:val="26"/>
        </w:rPr>
      </w:pPr>
      <w:r>
        <w:rPr>
          <w:sz w:val="26"/>
          <w:szCs w:val="26"/>
        </w:rPr>
      </w:r>
    </w:p>
    <w:p>
      <w:pPr>
        <w:pStyle w:val="Normal"/>
        <w:rPr>
          <w:b/>
          <w:bCs/>
          <w:sz w:val="26"/>
          <w:szCs w:val="26"/>
        </w:rPr>
      </w:pPr>
      <w:r>
        <w:rPr>
          <w:b/>
          <w:bCs/>
          <w:sz w:val="26"/>
          <w:szCs w:val="26"/>
        </w:rPr>
        <w:t>Response:</w:t>
      </w:r>
    </w:p>
    <w:p>
      <w:pPr>
        <w:pStyle w:val="Normal"/>
        <w:rPr>
          <w:b/>
          <w:bCs/>
          <w:sz w:val="26"/>
          <w:szCs w:val="26"/>
        </w:rPr>
      </w:pPr>
      <w:r>
        <w:rPr>
          <w:b/>
          <w:bCs/>
          <w:sz w:val="26"/>
          <w:szCs w:val="26"/>
        </w:rPr>
      </w:r>
    </w:p>
    <w:p>
      <w:pPr>
        <w:pStyle w:val="Normal"/>
        <w:rPr>
          <w:sz w:val="26"/>
          <w:szCs w:val="26"/>
        </w:rPr>
      </w:pPr>
      <w:r>
        <w:rPr>
          <w:sz w:val="26"/>
          <w:szCs w:val="26"/>
        </w:rPr>
        <w:t xml:space="preserve">See attached Settlement documents with the ISO.  </w:t>
      </w:r>
    </w:p>
    <w:p>
      <w:pPr>
        <w:pStyle w:val="Normal"/>
        <w:rPr>
          <w:sz w:val="26"/>
          <w:szCs w:val="26"/>
        </w:rPr>
      </w:pPr>
      <w:r>
        <w:rPr>
          <w:sz w:val="26"/>
          <w:szCs w:val="26"/>
        </w:rPr>
      </w:r>
    </w:p>
    <w:p>
      <w:pPr>
        <w:sectPr>
          <w:type w:val="continuous"/>
          <w:pgSz w:w="12240" w:h="15840"/>
          <w:pgMar w:left="1440" w:right="1440" w:gutter="0" w:header="1440" w:top="1496" w:footer="0" w:bottom="1440"/>
          <w:formProt w:val="false"/>
          <w:textDirection w:val="lrTb"/>
          <w:docGrid w:type="default" w:linePitch="360" w:charSpace="0"/>
        </w:sectPr>
      </w:pPr>
    </w:p>
    <w:p>
      <w:pPr>
        <w:pStyle w:val="Normal"/>
        <w:keepNext w:val="true"/>
        <w:keepLines/>
        <w:rPr>
          <w:sz w:val="26"/>
          <w:szCs w:val="26"/>
        </w:rPr>
      </w:pPr>
      <w:r>
        <w:rPr>
          <w:b/>
          <w:bCs/>
          <w:sz w:val="26"/>
          <w:szCs w:val="26"/>
        </w:rPr>
        <w:t>Staff/BPA-14</w:t>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Lines/>
        <w:rPr>
          <w:sz w:val="26"/>
          <w:szCs w:val="26"/>
        </w:rPr>
      </w:pPr>
      <w:r>
        <w:rPr>
          <w:sz w:val="26"/>
          <w:szCs w:val="26"/>
        </w:rPr>
        <w:t>Referring to Exhibits BPA-3 and BPA-4, please indicate what each of the following represent:</w:t>
      </w:r>
    </w:p>
    <w:p>
      <w:pPr>
        <w:pStyle w:val="Normal"/>
        <w:rPr>
          <w:sz w:val="26"/>
          <w:szCs w:val="26"/>
        </w:rPr>
      </w:pPr>
      <w:r>
        <w:rPr>
          <w:sz w:val="26"/>
          <w:szCs w:val="26"/>
        </w:rPr>
      </w:r>
    </w:p>
    <w:p>
      <w:pPr>
        <w:pStyle w:val="Normal"/>
        <w:rPr>
          <w:b/>
          <w:bCs/>
          <w:sz w:val="26"/>
          <w:szCs w:val="26"/>
        </w:rPr>
      </w:pPr>
      <w:r>
        <w:rPr>
          <w:b/>
          <w:bCs/>
          <w:sz w:val="26"/>
          <w:szCs w:val="26"/>
        </w:rPr>
        <w:t>Response:</w:t>
      </w:r>
    </w:p>
    <w:p>
      <w:pPr>
        <w:pStyle w:val="Normal"/>
        <w:tabs>
          <w:tab w:val="clear" w:pos="720"/>
          <w:tab w:val="left" w:pos="-1440" w:leader="none"/>
        </w:tabs>
        <w:ind w:hanging="720" w:start="720" w:end="0"/>
        <w:rPr>
          <w:b/>
          <w:bCs/>
          <w:sz w:val="26"/>
          <w:szCs w:val="26"/>
        </w:rPr>
      </w:pPr>
      <w:r>
        <w:rPr>
          <w:b/>
          <w:bCs/>
          <w:sz w:val="26"/>
          <w:szCs w:val="26"/>
        </w:rPr>
      </w:r>
    </w:p>
    <w:p>
      <w:pPr>
        <w:pStyle w:val="Normal"/>
        <w:tabs>
          <w:tab w:val="clear" w:pos="720"/>
          <w:tab w:val="left" w:pos="-1440" w:leader="none"/>
        </w:tabs>
        <w:ind w:hanging="720" w:start="720" w:end="0"/>
        <w:rPr/>
      </w:pPr>
      <w:r>
        <w:rPr>
          <w:sz w:val="26"/>
          <w:szCs w:val="26"/>
        </w:rPr>
        <w:t>a)</w:t>
        <w:tab/>
        <w:t>UFN—</w:t>
      </w:r>
      <w:r>
        <w:rPr>
          <w:b/>
          <w:bCs/>
          <w:sz w:val="26"/>
          <w:szCs w:val="26"/>
        </w:rPr>
        <w:t>Until Further Notice</w:t>
        <w:tab/>
      </w:r>
    </w:p>
    <w:p>
      <w:pPr>
        <w:pStyle w:val="Normal"/>
        <w:tabs>
          <w:tab w:val="clear" w:pos="720"/>
          <w:tab w:val="left" w:pos="-1440" w:leader="none"/>
        </w:tabs>
        <w:ind w:hanging="720" w:start="720" w:end="0"/>
        <w:rPr/>
      </w:pPr>
      <w:r>
        <w:rPr>
          <w:sz w:val="26"/>
          <w:szCs w:val="26"/>
        </w:rPr>
        <w:t>b)</w:t>
        <w:tab/>
        <w:t>GCL—</w:t>
      </w:r>
      <w:r>
        <w:rPr>
          <w:b/>
          <w:bCs/>
          <w:sz w:val="26"/>
          <w:szCs w:val="26"/>
        </w:rPr>
        <w:t>Grand Coulee Dam</w:t>
      </w:r>
    </w:p>
    <w:p>
      <w:pPr>
        <w:pStyle w:val="Normal"/>
        <w:tabs>
          <w:tab w:val="clear" w:pos="720"/>
          <w:tab w:val="left" w:pos="-1440" w:leader="none"/>
        </w:tabs>
        <w:ind w:hanging="720" w:start="720" w:end="0"/>
        <w:rPr>
          <w:sz w:val="26"/>
          <w:szCs w:val="26"/>
        </w:rPr>
      </w:pPr>
      <w:r>
        <w:rPr>
          <w:sz w:val="26"/>
          <w:szCs w:val="26"/>
        </w:rPr>
        <w:t>c)</w:t>
        <w:tab/>
        <w:t>BON—</w:t>
      </w:r>
      <w:r>
        <w:rPr>
          <w:b/>
          <w:bCs/>
          <w:sz w:val="26"/>
          <w:szCs w:val="26"/>
        </w:rPr>
        <w:t>Bonneville Dam</w:t>
      </w:r>
    </w:p>
    <w:p>
      <w:pPr>
        <w:pStyle w:val="Normal"/>
        <w:tabs>
          <w:tab w:val="clear" w:pos="720"/>
          <w:tab w:val="left" w:pos="-1440" w:leader="none"/>
        </w:tabs>
        <w:ind w:hanging="720" w:start="720" w:end="0"/>
        <w:rPr/>
      </w:pPr>
      <w:r>
        <w:rPr>
          <w:sz w:val="26"/>
          <w:szCs w:val="26"/>
        </w:rPr>
        <w:t>d)</w:t>
        <w:tab/>
        <w:t>LLH—</w:t>
      </w:r>
      <w:r>
        <w:rPr>
          <w:b/>
          <w:bCs/>
          <w:sz w:val="26"/>
          <w:szCs w:val="26"/>
        </w:rPr>
        <w:t>Light Load Hours</w:t>
      </w:r>
    </w:p>
    <w:p>
      <w:pPr>
        <w:pStyle w:val="Normal"/>
        <w:tabs>
          <w:tab w:val="clear" w:pos="720"/>
          <w:tab w:val="left" w:pos="-1440" w:leader="none"/>
        </w:tabs>
        <w:ind w:hanging="720" w:start="720" w:end="0"/>
        <w:rPr>
          <w:sz w:val="26"/>
          <w:szCs w:val="26"/>
        </w:rPr>
      </w:pPr>
      <w:r>
        <w:rPr>
          <w:sz w:val="26"/>
          <w:szCs w:val="26"/>
        </w:rPr>
        <w:t>e)</w:t>
        <w:tab/>
        <w:t>NWPP—</w:t>
      </w:r>
      <w:r>
        <w:rPr>
          <w:b/>
          <w:bCs/>
          <w:sz w:val="26"/>
          <w:szCs w:val="26"/>
        </w:rPr>
        <w:t>Northwest Power Planning Council</w:t>
      </w:r>
    </w:p>
    <w:p>
      <w:pPr>
        <w:pStyle w:val="Normal"/>
        <w:tabs>
          <w:tab w:val="clear" w:pos="720"/>
          <w:tab w:val="left" w:pos="-1440" w:leader="none"/>
        </w:tabs>
        <w:ind w:hanging="720" w:start="720" w:end="0"/>
        <w:rPr/>
      </w:pPr>
      <w:r>
        <w:rPr>
          <w:sz w:val="26"/>
          <w:szCs w:val="26"/>
        </w:rPr>
        <w:t>f)</w:t>
        <w:tab/>
        <w:t>PNCA—</w:t>
      </w:r>
      <w:r>
        <w:rPr>
          <w:b/>
          <w:bCs/>
          <w:sz w:val="26"/>
          <w:szCs w:val="26"/>
        </w:rPr>
        <w:t>Pacific Northwest Coordination Agreement</w:t>
      </w:r>
    </w:p>
    <w:p>
      <w:pPr>
        <w:pStyle w:val="Normal"/>
        <w:tabs>
          <w:tab w:val="clear" w:pos="720"/>
          <w:tab w:val="left" w:pos="-1440" w:leader="none"/>
        </w:tabs>
        <w:ind w:hanging="720" w:start="720" w:end="0"/>
        <w:rPr/>
      </w:pPr>
      <w:r>
        <w:rPr>
          <w:sz w:val="26"/>
          <w:szCs w:val="26"/>
        </w:rPr>
        <w:t>g)</w:t>
        <w:tab/>
        <w:t>FCRPS—</w:t>
      </w:r>
      <w:r>
        <w:rPr>
          <w:b/>
          <w:bCs/>
          <w:sz w:val="26"/>
          <w:szCs w:val="26"/>
        </w:rPr>
        <w:t>Federal Columbia River Power System</w:t>
      </w:r>
    </w:p>
    <w:p>
      <w:pPr>
        <w:pStyle w:val="Normal"/>
        <w:rPr>
          <w:b/>
          <w:bCs/>
          <w:sz w:val="26"/>
          <w:szCs w:val="26"/>
        </w:rPr>
      </w:pPr>
      <w:r>
        <w:rPr>
          <w:b/>
          <w:bCs/>
          <w:sz w:val="26"/>
          <w:szCs w:val="26"/>
        </w:rPr>
      </w:r>
    </w:p>
    <w:p>
      <w:pPr>
        <w:pStyle w:val="Normal"/>
        <w:rPr>
          <w:b/>
          <w:bCs/>
          <w:sz w:val="26"/>
          <w:szCs w:val="26"/>
        </w:rPr>
      </w:pPr>
      <w:r>
        <w:rPr>
          <w:b/>
          <w:bCs/>
          <w:sz w:val="26"/>
          <w:szCs w:val="26"/>
        </w:rPr>
      </w:r>
    </w:p>
    <w:sectPr>
      <w:type w:val="continuous"/>
      <w:pgSz w:w="12240" w:h="15840"/>
      <w:pgMar w:left="1440" w:right="1440" w:gutter="0" w:header="1440" w:top="149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6"/>
        <w:szCs w:val="26"/>
      </w:rPr>
    </w:pPr>
    <w:r>
      <w:rPr>
        <w:sz w:val="26"/>
        <w:szCs w:val="26"/>
      </w:rPr>
    </w:r>
  </w:p>
  <w:p>
    <w:pPr>
      <w:pStyle w:val="Normal"/>
      <w:spacing w:lineRule="exact" w:line="240"/>
      <w:rPr>
        <w:sz w:val="26"/>
        <w:szCs w:val="26"/>
      </w:rPr>
    </w:pPr>
    <w:r>
      <w:rPr>
        <w:sz w:val="26"/>
        <w:szCs w:val="2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720"/>
        </w:tabs>
        <w:ind w:start="720" w:hanging="360"/>
      </w:pPr>
      <w:rPr/>
    </w:lvl>
  </w:abstractNum>
  <w:abstractNum w:abstractNumId="3">
    <w:lvl w:ilvl="0">
      <w:start w:val="1"/>
      <w:numFmt w:val="lowerLetter"/>
      <w:lvlText w:val="%1)"/>
      <w:lvlJc w:val="start"/>
      <w:pPr>
        <w:tabs>
          <w:tab w:val="num" w:pos="720"/>
        </w:tabs>
        <w:ind w:start="720" w:hanging="360"/>
      </w:pPr>
      <w:rPr>
        <w:u w:val="none"/>
      </w:rPr>
    </w:lvl>
  </w:abstractNum>
  <w:abstractNum w:abstractNumId="4">
    <w:lvl w:ilvl="0">
      <w:start w:val="1"/>
      <w:numFmt w:val="lowerLetter"/>
      <w:lvlText w:val="%1)"/>
      <w:lvlJc w:val="start"/>
      <w:pPr>
        <w:tabs>
          <w:tab w:val="num" w:pos="720"/>
        </w:tabs>
        <w:ind w:start="720" w:hanging="6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outlineLvl w:val="0"/>
    </w:pPr>
    <w:rPr>
      <w:b/>
      <w:bCs/>
      <w:sz w:val="26"/>
      <w:szCs w:val="26"/>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tabs>
        <w:tab w:val="clear" w:pos="720"/>
        <w:tab w:val="left" w:pos="-1440" w:leader="none"/>
      </w:tabs>
      <w:outlineLvl w:val="2"/>
    </w:pPr>
    <w:rPr>
      <w:sz w:val="26"/>
      <w:szCs w:val="26"/>
    </w:rPr>
  </w:style>
  <w:style w:type="paragraph" w:styleId="Heading4">
    <w:name w:val="heading 4"/>
    <w:basedOn w:val="Normal"/>
    <w:next w:val="Normal"/>
    <w:qFormat/>
    <w:pPr>
      <w:keepNext w:val="true"/>
      <w:numPr>
        <w:ilvl w:val="3"/>
        <w:numId w:val="1"/>
      </w:numPr>
      <w:jc w:val="center"/>
      <w:outlineLvl w:val="3"/>
    </w:pPr>
    <w:rPr>
      <w:b/>
      <w:bCs/>
      <w:sz w:val="24"/>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Normal"/>
    <w:qFormat/>
    <w:pPr>
      <w:keepNext w:val="true"/>
      <w:keepLines/>
      <w:pageBreakBefore/>
      <w:tabs>
        <w:tab w:val="clear" w:pos="720"/>
        <w:tab w:val="left" w:pos="360" w:leader="none"/>
      </w:tabs>
      <w:suppressAutoHyphens w:val="true"/>
      <w:autoSpaceDE w:val="true"/>
      <w:spacing w:before="0" w:after="60"/>
      <w:ind w:hanging="720" w:start="720" w:end="0"/>
      <w:jc w:val="center"/>
      <w:outlineLvl w:val="0"/>
    </w:pPr>
    <w:rPr>
      <w:b/>
      <w:caps/>
      <w:kern w:val="2"/>
      <w:szCs w:val="20"/>
    </w:rPr>
  </w:style>
  <w:style w:type="paragraph" w:styleId="BodyText">
    <w:name w:val="Body Text"/>
    <w:basedOn w:val="Normal"/>
    <w:pPr>
      <w:tabs>
        <w:tab w:val="clear" w:pos="720"/>
        <w:tab w:val="left" w:pos="-1440" w:leader="none"/>
      </w:tabs>
    </w:pPr>
    <w:rPr>
      <w:sz w:val="26"/>
      <w:szCs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440" w:leader="none"/>
      </w:tabs>
      <w:ind w:hanging="1440" w:start="0" w:end="0"/>
    </w:pPr>
    <w:rPr>
      <w:sz w:val="26"/>
      <w:szCs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2001-11-15T14:32:00Z</dcterms:created>
  <dc:creator>BPA</dc:creator>
  <dc:description/>
  <dc:language>en-CA</dc:language>
  <cp:lastModifiedBy>BPA</cp:lastModifiedBy>
  <cp:lastPrinted>2001-11-19T09:14:00Z</cp:lastPrinted>
  <dcterms:modified xsi:type="dcterms:W3CDTF">2001-11-26T16:29:00Z</dcterms:modified>
  <cp:revision>15</cp:revision>
  <dc:subject/>
  <dc:title>Staff/BPA-1</dc:title>
</cp:coreProperties>
</file>