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ind w:hanging="0" w:start="0" w:end="0"/>
        <w:rPr>
          <w:bCs/>
          <w:sz w:val="24"/>
        </w:rPr>
      </w:pPr>
      <w:r>
        <w:rPr>
          <w:bCs/>
          <w:sz w:val="24"/>
        </w:rPr>
        <w:t>UNITED STATES OF AMERICA</w:t>
      </w:r>
    </w:p>
    <w:p>
      <w:pPr>
        <w:pStyle w:val="Normal"/>
        <w:jc w:val="center"/>
        <w:rPr>
          <w:b/>
          <w:bCs/>
        </w:rPr>
      </w:pPr>
      <w:r>
        <w:rPr>
          <w:b/>
          <w:bCs/>
        </w:rPr>
        <w:t>BEFORE THE</w:t>
      </w:r>
    </w:p>
    <w:p>
      <w:pPr>
        <w:pStyle w:val="Heading4"/>
        <w:ind w:hanging="0" w:start="0"/>
        <w:rPr/>
      </w:pPr>
      <w:r>
        <w:rPr/>
        <w:t>FEDERAL ENERGY REGULATORY COMMISSION</w:t>
      </w:r>
    </w:p>
    <w:p>
      <w:pPr>
        <w:pStyle w:val="Normal"/>
        <w:rPr>
          <w:b/>
          <w:bCs/>
        </w:rPr>
      </w:pPr>
      <w:r>
        <w:rPr>
          <w:b/>
          <w:bCs/>
        </w:rPr>
      </w:r>
    </w:p>
    <w:p>
      <w:pPr>
        <w:pStyle w:val="Normal"/>
        <w:tabs>
          <w:tab w:val="clear" w:pos="720"/>
          <w:tab w:val="left" w:pos="-1440" w:leader="none"/>
        </w:tabs>
        <w:ind w:hanging="1080" w:start="1440" w:end="0"/>
        <w:rPr>
          <w:b/>
          <w:bCs/>
        </w:rPr>
      </w:pPr>
      <w:r>
        <w:rPr>
          <w:b/>
          <w:bCs/>
        </w:rPr>
        <w:tab/>
      </w:r>
    </w:p>
    <w:p>
      <w:pPr>
        <w:pStyle w:val="Normal"/>
        <w:rPr>
          <w:b/>
          <w:bCs/>
        </w:rPr>
      </w:pPr>
      <w:r>
        <w:rPr>
          <w:b/>
          <w:bCs/>
        </w:rPr>
        <w:t>San Diego Gas &amp; Electric Company,</w:t>
        <w:tab/>
        <w:tab/>
        <w:t>)</w:t>
      </w:r>
    </w:p>
    <w:p>
      <w:pPr>
        <w:pStyle w:val="Normal"/>
        <w:rPr>
          <w:b/>
          <w:bCs/>
        </w:rPr>
      </w:pPr>
      <w:r>
        <w:rPr>
          <w:b/>
          <w:bCs/>
        </w:rPr>
        <w:tab/>
        <w:tab/>
        <w:tab/>
        <w:t>Complainant,</w:t>
        <w:tab/>
        <w:tab/>
        <w:tab/>
        <w:t>)</w:t>
      </w:r>
    </w:p>
    <w:p>
      <w:pPr>
        <w:pStyle w:val="Normal"/>
        <w:rPr>
          <w:b/>
          <w:bCs/>
        </w:rPr>
      </w:pPr>
      <w:r>
        <w:rPr>
          <w:b/>
          <w:bCs/>
        </w:rPr>
        <w:tab/>
        <w:tab/>
        <w:tab/>
        <w:tab/>
        <w:tab/>
        <w:tab/>
        <w:tab/>
        <w:t>)</w:t>
      </w:r>
    </w:p>
    <w:p>
      <w:pPr>
        <w:pStyle w:val="Normal"/>
        <w:rPr>
          <w:b/>
          <w:bCs/>
        </w:rPr>
      </w:pPr>
      <w:r>
        <w:rPr>
          <w:b/>
          <w:bCs/>
        </w:rPr>
        <w:tab/>
        <w:tab/>
        <w:t>v.</w:t>
        <w:tab/>
        <w:tab/>
        <w:tab/>
        <w:tab/>
        <w:tab/>
        <w:t>)</w:t>
        <w:tab/>
        <w:t>Docket No. EL00-95-045</w:t>
      </w:r>
    </w:p>
    <w:p>
      <w:pPr>
        <w:pStyle w:val="Normal"/>
        <w:rPr>
          <w:b/>
          <w:bCs/>
        </w:rPr>
      </w:pPr>
      <w:r>
        <w:rPr>
          <w:b/>
          <w:bCs/>
        </w:rPr>
        <w:tab/>
        <w:tab/>
        <w:tab/>
        <w:tab/>
        <w:tab/>
        <w:tab/>
        <w:tab/>
        <w:t>)</w:t>
      </w:r>
    </w:p>
    <w:p>
      <w:pPr>
        <w:pStyle w:val="Normal"/>
        <w:tabs>
          <w:tab w:val="clear" w:pos="720"/>
          <w:tab w:val="left" w:pos="4680" w:leader="none"/>
        </w:tabs>
        <w:rPr>
          <w:b/>
          <w:bCs/>
        </w:rPr>
      </w:pPr>
      <w:r>
        <w:rPr>
          <w:b/>
          <w:bCs/>
        </w:rPr>
        <w:t>Sellers of Energy and Ancillary Services</w:t>
        <w:tab/>
        <w:tab/>
        <w:t>)</w:t>
      </w:r>
    </w:p>
    <w:p>
      <w:pPr>
        <w:pStyle w:val="Normal"/>
        <w:tabs>
          <w:tab w:val="clear" w:pos="720"/>
          <w:tab w:val="left" w:pos="4680" w:leader="none"/>
        </w:tabs>
        <w:rPr>
          <w:b/>
          <w:bCs/>
        </w:rPr>
      </w:pPr>
      <w:r>
        <w:rPr>
          <w:b/>
          <w:bCs/>
        </w:rPr>
        <w:t>Into Markets Operated by the California</w:t>
        <w:tab/>
        <w:tab/>
        <w:t>)</w:t>
      </w:r>
    </w:p>
    <w:p>
      <w:pPr>
        <w:pStyle w:val="Normal"/>
        <w:tabs>
          <w:tab w:val="clear" w:pos="720"/>
          <w:tab w:val="left" w:pos="4680" w:leader="none"/>
        </w:tabs>
        <w:rPr>
          <w:b/>
          <w:bCs/>
        </w:rPr>
      </w:pPr>
      <w:r>
        <w:rPr>
          <w:b/>
          <w:bCs/>
        </w:rPr>
        <w:t>Independent System Operator and the</w:t>
        <w:tab/>
        <w:tab/>
        <w:t>)</w:t>
      </w:r>
    </w:p>
    <w:p>
      <w:pPr>
        <w:pStyle w:val="Normal"/>
        <w:tabs>
          <w:tab w:val="clear" w:pos="720"/>
          <w:tab w:val="left" w:pos="4680" w:leader="none"/>
        </w:tabs>
        <w:rPr>
          <w:b/>
          <w:bCs/>
        </w:rPr>
      </w:pPr>
      <w:r>
        <w:rPr>
          <w:b/>
          <w:bCs/>
        </w:rPr>
        <w:t xml:space="preserve">California Power Exchange, </w:t>
        <w:tab/>
        <w:tab/>
        <w:t>)</w:t>
      </w:r>
    </w:p>
    <w:p>
      <w:pPr>
        <w:pStyle w:val="Normal"/>
        <w:tabs>
          <w:tab w:val="clear" w:pos="720"/>
          <w:tab w:val="left" w:pos="4680" w:leader="none"/>
        </w:tabs>
        <w:rPr>
          <w:b/>
          <w:bCs/>
        </w:rPr>
      </w:pPr>
      <w:r>
        <w:rPr>
          <w:b/>
          <w:bCs/>
        </w:rPr>
        <w:t xml:space="preserve">                                </w:t>
      </w:r>
      <w:r>
        <w:rPr>
          <w:b/>
          <w:bCs/>
        </w:rPr>
        <w:t>Respondents.</w:t>
        <w:tab/>
        <w:tab/>
        <w:t>)</w:t>
      </w:r>
    </w:p>
    <w:p>
      <w:pPr>
        <w:pStyle w:val="Normal"/>
        <w:tabs>
          <w:tab w:val="clear" w:pos="720"/>
          <w:tab w:val="left" w:pos="4680" w:leader="none"/>
        </w:tabs>
        <w:rPr>
          <w:b/>
          <w:bCs/>
        </w:rPr>
      </w:pPr>
      <w:r>
        <w:rPr>
          <w:b/>
          <w:bCs/>
        </w:rPr>
        <w:tab/>
        <w:tab/>
        <w:t>)</w:t>
      </w:r>
    </w:p>
    <w:p>
      <w:pPr>
        <w:pStyle w:val="Normal"/>
        <w:tabs>
          <w:tab w:val="clear" w:pos="720"/>
          <w:tab w:val="left" w:pos="4680" w:leader="none"/>
        </w:tabs>
        <w:rPr>
          <w:b/>
          <w:bCs/>
        </w:rPr>
      </w:pPr>
      <w:r>
        <w:rPr>
          <w:b/>
          <w:bCs/>
        </w:rPr>
        <w:t>Investigation of Practices of the California</w:t>
        <w:tab/>
        <w:t xml:space="preserve">      )</w:t>
      </w:r>
    </w:p>
    <w:p>
      <w:pPr>
        <w:pStyle w:val="Normal"/>
        <w:tabs>
          <w:tab w:val="clear" w:pos="720"/>
          <w:tab w:val="left" w:pos="4680" w:leader="none"/>
        </w:tabs>
        <w:rPr>
          <w:b/>
          <w:bCs/>
        </w:rPr>
      </w:pPr>
      <w:r>
        <w:rPr>
          <w:b/>
          <w:bCs/>
        </w:rPr>
        <w:t>Independent System Operator and the</w:t>
        <w:tab/>
        <w:tab/>
        <w:t>)</w:t>
        <w:tab/>
        <w:t>Docket No. EL00-98-042</w:t>
      </w:r>
    </w:p>
    <w:p>
      <w:pPr>
        <w:pStyle w:val="Normal"/>
        <w:tabs>
          <w:tab w:val="clear" w:pos="720"/>
          <w:tab w:val="left" w:pos="4680" w:leader="none"/>
        </w:tabs>
        <w:rPr>
          <w:b/>
          <w:bCs/>
        </w:rPr>
      </w:pPr>
      <w:r>
        <w:rPr>
          <w:b/>
          <w:bCs/>
        </w:rPr>
        <w:t>California Power Exchange</w:t>
        <w:tab/>
        <w:t xml:space="preserve">      )</w:t>
      </w:r>
    </w:p>
    <w:p>
      <w:pPr>
        <w:pStyle w:val="Normal"/>
        <w:jc w:val="center"/>
        <w:rPr>
          <w:b/>
          <w:bCs/>
        </w:rPr>
      </w:pPr>
      <w:r>
        <w:rPr>
          <w:b/>
          <w:bCs/>
        </w:rPr>
      </w:r>
    </w:p>
    <w:p>
      <w:pPr>
        <w:pStyle w:val="Normal"/>
        <w:jc w:val="center"/>
        <w:rPr/>
      </w:pPr>
      <w:r>
        <w:rPr/>
        <w:t>BPA’s Response to ISO First Data Request</w:t>
      </w:r>
    </w:p>
    <w:p>
      <w:pPr>
        <w:pStyle w:val="Normal"/>
        <w:jc w:val="center"/>
        <w:rPr/>
      </w:pPr>
      <w:r>
        <w:rPr/>
      </w:r>
    </w:p>
    <w:p>
      <w:pPr>
        <w:pStyle w:val="Heading1"/>
        <w:ind w:hanging="0" w:start="0"/>
        <w:rPr/>
      </w:pPr>
      <w:r>
        <w:rPr/>
      </w:r>
    </w:p>
    <w:p>
      <w:pPr>
        <w:pStyle w:val="Heading1"/>
        <w:ind w:hanging="0" w:start="0"/>
        <w:rPr>
          <w:rFonts w:ascii="Times New Roman" w:hAnsi="Times New Roman" w:cs="Times New Roman"/>
        </w:rPr>
      </w:pPr>
      <w:r>
        <w:rPr>
          <w:rFonts w:cs="Times New Roman" w:ascii="Times New Roman" w:hAnsi="Times New Roman"/>
        </w:rPr>
        <w:t>ISO-DOE-1</w:t>
      </w:r>
    </w:p>
    <w:p>
      <w:pPr>
        <w:pStyle w:val="Normal"/>
        <w:rPr>
          <w:rFonts w:ascii="Arial" w:hAnsi="Arial" w:cs="Arial"/>
          <w:szCs w:val="20"/>
        </w:rPr>
      </w:pPr>
      <w:r>
        <w:rPr>
          <w:rFonts w:cs="Arial" w:ascii="Arial" w:hAnsi="Arial"/>
          <w:szCs w:val="20"/>
        </w:rPr>
      </w:r>
    </w:p>
    <w:p>
      <w:pPr>
        <w:pStyle w:val="Normal"/>
        <w:rPr>
          <w:b/>
          <w:szCs w:val="20"/>
          <w:u w:val="single"/>
        </w:rPr>
      </w:pPr>
      <w:r>
        <w:rPr/>
        <w:t>Please produce any documents prepared by persons in your employ during the time period when sales were allegedly being made pursuant to section 202(c) of the Federal Power Act  that, in your judgment, establish that particular sales, specifying intervals and quantities, were made pursuant to DOE Orders.</w:t>
      </w:r>
    </w:p>
    <w:p>
      <w:pPr>
        <w:pStyle w:val="Normal"/>
        <w:rPr>
          <w:b/>
          <w:szCs w:val="20"/>
          <w:u w:val="single"/>
        </w:rPr>
      </w:pPr>
      <w:r>
        <w:rPr>
          <w:b/>
          <w:szCs w:val="20"/>
          <w:u w:val="single"/>
        </w:rPr>
      </w:r>
    </w:p>
    <w:p>
      <w:pPr>
        <w:pStyle w:val="Normal"/>
        <w:rPr>
          <w:b/>
          <w:bCs/>
        </w:rPr>
      </w:pPr>
      <w:r>
        <w:rPr>
          <w:b/>
          <w:bCs/>
        </w:rPr>
        <w:t>Response:</w:t>
      </w:r>
    </w:p>
    <w:p>
      <w:pPr>
        <w:pStyle w:val="Normal"/>
        <w:rPr>
          <w:b/>
          <w:bCs/>
        </w:rPr>
      </w:pPr>
      <w:r>
        <w:rPr>
          <w:b/>
          <w:bCs/>
        </w:rPr>
      </w:r>
    </w:p>
    <w:p>
      <w:pPr>
        <w:pStyle w:val="Normal"/>
        <w:rPr/>
      </w:pPr>
      <w:r>
        <w:rPr/>
        <w:t>See responses to Staff data request and testimony of David Mills.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Cs w:val="20"/>
    </w:rPr>
  </w:style>
  <w:style w:type="paragraph" w:styleId="Heading4">
    <w:name w:val="heading 4"/>
    <w:basedOn w:val="Normal"/>
    <w:next w:val="Normal"/>
    <w:qFormat/>
    <w:pPr>
      <w:keepNext w:val="true"/>
      <w:widowControl w:val="false"/>
      <w:numPr>
        <w:ilvl w:val="3"/>
        <w:numId w:val="1"/>
      </w:numPr>
      <w:autoSpaceDE w:val="false"/>
      <w:jc w:val="center"/>
      <w:outlineLvl w:val="3"/>
    </w:pPr>
    <w:rPr>
      <w:b/>
      <w:bCs/>
    </w:rPr>
  </w:style>
  <w:style w:type="character" w:styleId="DefaultParagraphFont">
    <w:name w:val="Default Paragraph Font"/>
    <w:qFormat/>
    <w:rPr/>
  </w:style>
  <w:style w:type="paragraph" w:styleId="Heading">
    <w:name w:val="Heading"/>
    <w:basedOn w:val="Normal"/>
    <w:next w:val="Normal"/>
    <w:qFormat/>
    <w:pPr>
      <w:keepNext w:val="true"/>
      <w:keepLines/>
      <w:pageBreakBefore/>
      <w:widowControl w:val="false"/>
      <w:tabs>
        <w:tab w:val="clear" w:pos="720"/>
        <w:tab w:val="left" w:pos="360" w:leader="none"/>
      </w:tabs>
      <w:suppressAutoHyphens w:val="true"/>
      <w:spacing w:before="0" w:after="60"/>
      <w:ind w:hanging="720" w:start="720" w:end="0"/>
      <w:jc w:val="center"/>
      <w:outlineLvl w:val="0"/>
    </w:pPr>
    <w:rPr>
      <w:b/>
      <w:caps/>
      <w:kern w:val="2"/>
      <w:sz w:val="20"/>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2001-11-27T19:41:00Z</dcterms:created>
  <dc:creator>BPA</dc:creator>
  <dc:description/>
  <dc:language>en-CA</dc:language>
  <cp:lastModifiedBy>BPA</cp:lastModifiedBy>
  <dcterms:modified xsi:type="dcterms:W3CDTF">2001-11-27T19:45:00Z</dcterms:modified>
  <cp:revision>1</cp:revision>
  <dc:subject/>
  <dc:title>UNITED STATES OF AMERICA</dc:title>
</cp:coreProperties>
</file>