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 xml:space="preserve">FERC-Called Meeting on Scheduling and Dispatch Practices and Procedures of the CAISO </w:t>
      </w:r>
    </w:p>
    <w:p>
      <w:pPr>
        <w:pStyle w:val="BodyText"/>
        <w:rPr/>
      </w:pPr>
      <w:r>
        <w:rPr/>
        <w:t>24, 25 September 2001</w:t>
      </w:r>
    </w:p>
    <w:p>
      <w:pPr>
        <w:pStyle w:val="Normal"/>
        <w:rPr/>
      </w:pPr>
      <w:r>
        <w:rPr/>
      </w:r>
    </w:p>
    <w:p>
      <w:pPr>
        <w:pStyle w:val="Normal"/>
        <w:rPr/>
      </w:pPr>
      <w:r>
        <w:rPr/>
        <w:t>The stated purpose of the meeting is to “discuss the scheduling and dispatch practices and procedures of the [CAISO].”  FERC recognizes that the scheduling and dispatch procedures of the California ISO, as they have had to change in the last nine months, are not well understood or are not well suited to the current market structure.</w:t>
      </w:r>
    </w:p>
    <w:p>
      <w:pPr>
        <w:pStyle w:val="Normal"/>
        <w:rPr/>
      </w:pPr>
      <w:r>
        <w:rPr/>
      </w:r>
    </w:p>
    <w:p>
      <w:pPr>
        <w:pStyle w:val="Normal"/>
        <w:rPr/>
      </w:pPr>
      <w:r>
        <w:rPr/>
        <w:t>According to press reports, the meeting could result in a FERC investigation of CAISO actions to manipulate prices (see attached article).</w:t>
      </w:r>
    </w:p>
    <w:p>
      <w:pPr>
        <w:pStyle w:val="Normal"/>
        <w:jc w:val="center"/>
        <w:rPr>
          <w:b/>
          <w:bCs/>
        </w:rPr>
      </w:pPr>
      <w:r>
        <w:rPr>
          <w:b/>
          <w:bCs/>
        </w:rPr>
      </w:r>
    </w:p>
    <w:p>
      <w:pPr>
        <w:pStyle w:val="Normal"/>
        <w:jc w:val="center"/>
        <w:rPr>
          <w:b/>
          <w:bCs/>
        </w:rPr>
      </w:pPr>
      <w:r>
        <w:rPr>
          <w:b/>
          <w:bCs/>
        </w:rPr>
        <w:t>Draft Talking Points for Enron</w:t>
      </w:r>
    </w:p>
    <w:p>
      <w:pPr>
        <w:pStyle w:val="Normal"/>
        <w:rPr>
          <w:b/>
          <w:bCs/>
        </w:rPr>
      </w:pPr>
      <w:r>
        <w:rPr>
          <w:b/>
          <w:bCs/>
        </w:rPr>
      </w:r>
    </w:p>
    <w:p>
      <w:pPr>
        <w:pStyle w:val="Normal"/>
        <w:numPr>
          <w:ilvl w:val="0"/>
          <w:numId w:val="1"/>
        </w:numPr>
        <w:rPr>
          <w:b/>
          <w:bCs/>
        </w:rPr>
      </w:pPr>
      <w:r>
        <w:rPr>
          <w:b/>
          <w:bCs/>
        </w:rPr>
        <w:t>Its credit--not reliability--that’s the problem</w:t>
      </w:r>
    </w:p>
    <w:p>
      <w:pPr>
        <w:pStyle w:val="Normal"/>
        <w:numPr>
          <w:ilvl w:val="1"/>
          <w:numId w:val="1"/>
        </w:numPr>
        <w:rPr/>
      </w:pPr>
      <w:r>
        <w:rPr/>
        <w:t>There is adequate supply</w:t>
      </w:r>
    </w:p>
    <w:p>
      <w:pPr>
        <w:pStyle w:val="Normal"/>
        <w:numPr>
          <w:ilvl w:val="2"/>
          <w:numId w:val="1"/>
        </w:numPr>
        <w:rPr/>
      </w:pPr>
      <w:r>
        <w:rPr/>
        <w:t>Market prices are way down (see chart); there is adequate supply due to:</w:t>
      </w:r>
    </w:p>
    <w:p>
      <w:pPr>
        <w:pStyle w:val="Normal"/>
        <w:numPr>
          <w:ilvl w:val="3"/>
          <w:numId w:val="1"/>
        </w:numPr>
        <w:rPr/>
      </w:pPr>
      <w:r>
        <w:rPr/>
        <w:t>conservation</w:t>
      </w:r>
    </w:p>
    <w:p>
      <w:pPr>
        <w:pStyle w:val="Normal"/>
        <w:numPr>
          <w:ilvl w:val="3"/>
          <w:numId w:val="1"/>
        </w:numPr>
        <w:rPr/>
      </w:pPr>
      <w:r>
        <w:rPr/>
        <w:t>Capacity additions</w:t>
      </w:r>
    </w:p>
    <w:p>
      <w:pPr>
        <w:pStyle w:val="Normal"/>
        <w:numPr>
          <w:ilvl w:val="3"/>
          <w:numId w:val="1"/>
        </w:numPr>
        <w:rPr/>
      </w:pPr>
      <w:r>
        <w:rPr/>
        <w:t>new gen additions</w:t>
      </w:r>
    </w:p>
    <w:p>
      <w:pPr>
        <w:pStyle w:val="Normal"/>
        <w:numPr>
          <w:ilvl w:val="1"/>
          <w:numId w:val="1"/>
        </w:numPr>
        <w:rPr/>
      </w:pPr>
      <w:r>
        <w:rPr/>
        <w:t>The reason why dispatch instructions may go unheeded may have something to do with the fact that suppliers in R/T have not been paid since December</w:t>
      </w:r>
    </w:p>
    <w:p>
      <w:pPr>
        <w:pStyle w:val="Normal"/>
        <w:numPr>
          <w:ilvl w:val="2"/>
          <w:numId w:val="1"/>
        </w:numPr>
        <w:rPr/>
      </w:pPr>
      <w:r>
        <w:rPr/>
        <w:t>The so-called creditworthy buyer of last resort, CDWR/CERS, has not paid its bill</w:t>
      </w:r>
    </w:p>
    <w:p>
      <w:pPr>
        <w:pStyle w:val="Normal"/>
        <w:numPr>
          <w:ilvl w:val="3"/>
          <w:numId w:val="1"/>
        </w:numPr>
        <w:rPr/>
      </w:pPr>
      <w:r>
        <w:rPr/>
        <w:t xml:space="preserve">A proposed settlement may provide a break to this logjam but makes a mockery of existing CAISO tariffs and procedures </w:t>
      </w:r>
    </w:p>
    <w:p>
      <w:pPr>
        <w:pStyle w:val="Normal"/>
        <w:numPr>
          <w:ilvl w:val="1"/>
          <w:numId w:val="1"/>
        </w:numPr>
        <w:rPr/>
      </w:pPr>
      <w:r>
        <w:rPr/>
        <w:t>In the long run, the best credit worthy parties are the load-serving entities (LSE’s): the utilities and other ESPs; DWR should get out of the default procurement business altogether</w:t>
      </w:r>
    </w:p>
    <w:p>
      <w:pPr>
        <w:pStyle w:val="Normal"/>
        <w:numPr>
          <w:ilvl w:val="0"/>
          <w:numId w:val="1"/>
        </w:numPr>
        <w:rPr>
          <w:b/>
          <w:bCs/>
        </w:rPr>
      </w:pPr>
      <w:r>
        <w:rPr>
          <w:b/>
          <w:bCs/>
        </w:rPr>
        <w:t>CAISO and Market Participants Should work To Remove Price Controls Altogether</w:t>
      </w:r>
    </w:p>
    <w:p>
      <w:pPr>
        <w:pStyle w:val="Normal"/>
        <w:numPr>
          <w:ilvl w:val="1"/>
          <w:numId w:val="1"/>
        </w:numPr>
        <w:rPr>
          <w:b/>
          <w:bCs/>
        </w:rPr>
      </w:pPr>
      <w:r>
        <w:rPr/>
        <w:t>Adequate supply is available in both S/T and L/T markets (see point 1.a., above)</w:t>
      </w:r>
    </w:p>
    <w:p>
      <w:pPr>
        <w:pStyle w:val="Normal"/>
        <w:numPr>
          <w:ilvl w:val="2"/>
          <w:numId w:val="1"/>
        </w:numPr>
        <w:rPr>
          <w:b/>
          <w:bCs/>
        </w:rPr>
      </w:pPr>
      <w:r>
        <w:rPr/>
        <w:t>Fundamentals, not the cap, have caused lower prices</w:t>
      </w:r>
    </w:p>
    <w:p>
      <w:pPr>
        <w:pStyle w:val="Normal"/>
        <w:numPr>
          <w:ilvl w:val="1"/>
          <w:numId w:val="1"/>
        </w:numPr>
        <w:rPr>
          <w:b/>
          <w:bCs/>
        </w:rPr>
      </w:pPr>
      <w:r>
        <w:rPr/>
        <w:t>The market price has been below the cap almost since its inception</w:t>
      </w:r>
    </w:p>
    <w:p>
      <w:pPr>
        <w:pStyle w:val="Normal"/>
        <w:numPr>
          <w:ilvl w:val="2"/>
          <w:numId w:val="1"/>
        </w:numPr>
        <w:rPr>
          <w:b/>
          <w:bCs/>
        </w:rPr>
      </w:pPr>
      <w:r>
        <w:rPr/>
        <w:t>The cap has no basis in current marginal costs—it was set back in May</w:t>
      </w:r>
    </w:p>
    <w:p>
      <w:pPr>
        <w:pStyle w:val="Normal"/>
        <w:numPr>
          <w:ilvl w:val="2"/>
          <w:numId w:val="1"/>
        </w:numPr>
        <w:rPr>
          <w:b/>
          <w:bCs/>
        </w:rPr>
      </w:pPr>
      <w:r>
        <w:rPr/>
        <w:t>However, it may be inadequate for severe winter conditions</w:t>
      </w:r>
    </w:p>
    <w:p>
      <w:pPr>
        <w:pStyle w:val="Normal"/>
        <w:numPr>
          <w:ilvl w:val="1"/>
          <w:numId w:val="1"/>
        </w:numPr>
        <w:rPr>
          <w:b/>
          <w:bCs/>
        </w:rPr>
      </w:pPr>
      <w:r>
        <w:rPr/>
        <w:t>Best solution is to eliminate price controls altogether</w:t>
      </w:r>
    </w:p>
    <w:p>
      <w:pPr>
        <w:pStyle w:val="Normal"/>
        <w:numPr>
          <w:ilvl w:val="0"/>
          <w:numId w:val="1"/>
        </w:numPr>
        <w:rPr>
          <w:b/>
          <w:bCs/>
        </w:rPr>
      </w:pPr>
      <w:r>
        <w:rPr>
          <w:b/>
          <w:bCs/>
        </w:rPr>
        <w:t>There is no transparency in the CAISO’s R/T market</w:t>
      </w:r>
    </w:p>
    <w:p>
      <w:pPr>
        <w:pStyle w:val="Normal"/>
        <w:numPr>
          <w:ilvl w:val="1"/>
          <w:numId w:val="1"/>
        </w:numPr>
        <w:rPr/>
      </w:pPr>
      <w:r>
        <w:rPr/>
        <w:t>DWR for no explicable reason is still the predominant supplier of R/T energy</w:t>
      </w:r>
    </w:p>
    <w:p>
      <w:pPr>
        <w:pStyle w:val="Normal"/>
        <w:numPr>
          <w:ilvl w:val="2"/>
          <w:numId w:val="1"/>
        </w:numPr>
        <w:rPr/>
      </w:pPr>
      <w:r>
        <w:rPr/>
        <w:t>In some months, CAISO bought OOM power for prices in excess of market.  This raises the possibility that CAISO is laundering DWR’s over-subscription of high-priced power contracts</w:t>
      </w:r>
    </w:p>
    <w:p>
      <w:pPr>
        <w:pStyle w:val="Normal"/>
        <w:numPr>
          <w:ilvl w:val="2"/>
          <w:numId w:val="1"/>
        </w:numPr>
        <w:rPr/>
      </w:pPr>
      <w:r>
        <w:rPr/>
        <w:t>Because of an overreliance on DWR OOM (DOOM for short), the posted R/T price is meaningless.  It is sometimes zero when market prices and DOOM costs are higher.</w:t>
      </w:r>
    </w:p>
    <w:p>
      <w:pPr>
        <w:pStyle w:val="Normal"/>
        <w:numPr>
          <w:ilvl w:val="1"/>
          <w:numId w:val="1"/>
        </w:numPr>
        <w:rPr/>
      </w:pPr>
      <w:r>
        <w:rPr/>
        <w:t>Out-of-Market (OOM) costs, which form the large bulk of R/T purchases, are not posted</w:t>
      </w:r>
    </w:p>
    <w:p>
      <w:pPr>
        <w:pStyle w:val="Normal"/>
        <w:numPr>
          <w:ilvl w:val="2"/>
          <w:numId w:val="1"/>
        </w:numPr>
        <w:rPr/>
      </w:pPr>
      <w:r>
        <w:rPr/>
        <w:t xml:space="preserve">CAISO’s proposal to post prices after a 1-day delay is inadequate </w:t>
      </w:r>
    </w:p>
    <w:p>
      <w:pPr>
        <w:pStyle w:val="Normal"/>
        <w:numPr>
          <w:ilvl w:val="1"/>
          <w:numId w:val="1"/>
        </w:numPr>
        <w:rPr>
          <w:b/>
          <w:bCs/>
        </w:rPr>
      </w:pPr>
      <w:r>
        <w:rPr/>
        <w:t>CAISO should provide a creditworthy buyer and follow the tariff.  Posted R/T prices would once again be meaningful, especially if price controls are lifted (see point 2, above)</w:t>
      </w:r>
    </w:p>
    <w:p>
      <w:pPr>
        <w:pStyle w:val="Normal"/>
        <w:numPr>
          <w:ilvl w:val="0"/>
          <w:numId w:val="1"/>
        </w:numPr>
        <w:rPr>
          <w:b/>
          <w:bCs/>
        </w:rPr>
      </w:pPr>
      <w:r>
        <w:rPr>
          <w:b/>
          <w:bCs/>
        </w:rPr>
        <w:t>The FERC’s must-offer condition is confiscatory; CAISO’s implementation makes it worse</w:t>
      </w:r>
    </w:p>
    <w:p>
      <w:pPr>
        <w:pStyle w:val="Normal"/>
        <w:numPr>
          <w:ilvl w:val="1"/>
          <w:numId w:val="1"/>
        </w:numPr>
        <w:rPr/>
      </w:pPr>
      <w:r>
        <w:rPr/>
        <w:t>Except for quick-start CTs, all generators are expected to run at minimum load to respond to CAISO dispatch instructions</w:t>
      </w:r>
    </w:p>
    <w:p>
      <w:pPr>
        <w:pStyle w:val="Normal"/>
        <w:numPr>
          <w:ilvl w:val="2"/>
          <w:numId w:val="1"/>
        </w:numPr>
        <w:rPr/>
      </w:pPr>
      <w:r>
        <w:rPr/>
        <w:t>The costs of running at minimum load are in no way compensated for</w:t>
      </w:r>
    </w:p>
    <w:p>
      <w:pPr>
        <w:pStyle w:val="Normal"/>
        <w:numPr>
          <w:ilvl w:val="2"/>
          <w:numId w:val="1"/>
        </w:numPr>
        <w:rPr/>
      </w:pPr>
      <w:r>
        <w:rPr/>
        <w:t>The waiver process does not fully resolve the losses created by this policy</w:t>
      </w:r>
    </w:p>
    <w:p>
      <w:pPr>
        <w:pStyle w:val="Normal"/>
        <w:numPr>
          <w:ilvl w:val="2"/>
          <w:numId w:val="1"/>
        </w:numPr>
        <w:rPr/>
      </w:pPr>
      <w:r>
        <w:rPr/>
        <w:t>Start up and emission costs are not fully compensated for</w:t>
      </w:r>
    </w:p>
    <w:p>
      <w:pPr>
        <w:pStyle w:val="Normal"/>
        <w:numPr>
          <w:ilvl w:val="0"/>
          <w:numId w:val="1"/>
        </w:numPr>
        <w:rPr>
          <w:b/>
          <w:bCs/>
        </w:rPr>
      </w:pPr>
      <w:r>
        <w:rPr>
          <w:b/>
          <w:bCs/>
        </w:rPr>
        <w:t>Operational Details of the Must-Offer Condition Need Ironing Out</w:t>
      </w:r>
    </w:p>
    <w:p>
      <w:pPr>
        <w:pStyle w:val="Normal"/>
        <w:numPr>
          <w:ilvl w:val="1"/>
          <w:numId w:val="1"/>
        </w:numPr>
        <w:rPr>
          <w:b/>
          <w:bCs/>
        </w:rPr>
      </w:pPr>
      <w:r>
        <w:rPr/>
        <w:t>CAISO has issued dispatch instructions to plants that were off line and that had properly noticed their outage to the CAISO</w:t>
      </w:r>
    </w:p>
    <w:p>
      <w:pPr>
        <w:pStyle w:val="Normal"/>
        <w:numPr>
          <w:ilvl w:val="1"/>
          <w:numId w:val="1"/>
        </w:numPr>
        <w:rPr>
          <w:b/>
          <w:bCs/>
        </w:rPr>
      </w:pPr>
      <w:r>
        <w:rPr/>
        <w:t>CAISO has issued dispatch instructions of  0.01 MW (10 kW); such small orders cannot be honored</w:t>
      </w:r>
    </w:p>
    <w:p>
      <w:pPr>
        <w:pStyle w:val="Normal"/>
        <w:numPr>
          <w:ilvl w:val="1"/>
          <w:numId w:val="1"/>
        </w:numPr>
        <w:rPr/>
      </w:pPr>
      <w:r>
        <w:rPr/>
        <w:t>CAISO’s Automated Dispatching System (ADS) Market Participant (MP) Client is not working on Enron’s R/T desk despite repeated requests to CAISO to get it working</w:t>
      </w:r>
      <w:r>
        <w:br w:type="page"/>
      </w:r>
    </w:p>
    <w:p>
      <w:pPr>
        <w:pStyle w:val="Normal"/>
        <w:ind w:start="1080" w:end="0"/>
        <w:rPr/>
      </w:pPr>
      <w:r>
        <w:rP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5482590" cy="37490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82590" cy="3749040"/>
                    </a:xfrm>
                    <a:prstGeom prst="rect">
                      <a:avLst/>
                    </a:prstGeom>
                    <a:noFill/>
                  </pic:spPr>
                </pic:pic>
              </a:graphicData>
            </a:graphic>
          </wp:anchor>
        </w:drawing>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2001-09-21T19:43:00Z</dcterms:created>
  <dc:creator>acomnes</dc:creator>
  <dc:description/>
  <dc:language>en-CA</dc:language>
  <cp:lastModifiedBy>acomnes</cp:lastModifiedBy>
  <dcterms:modified xsi:type="dcterms:W3CDTF">2001-09-21T19:43:00Z</dcterms:modified>
  <cp:revision>2</cp:revision>
  <dc:subject/>
  <dc:title>FERC-Called Meeting on Scheduling and Dispatch Practices and Procedures of the CAISO </dc:title>
</cp:coreProperties>
</file>