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APPROVES VIRTUAL BIDDING</w:t>
      </w:r>
    </w:p>
    <w:p>
      <w:pPr>
        <w:pStyle w:val="Heading3"/>
        <w:ind w:hanging="0" w:start="0"/>
        <w:rPr/>
      </w:pPr>
      <w:r>
        <w:rPr/>
      </w:r>
    </w:p>
    <w:p>
      <w:pPr>
        <w:pStyle w:val="Heading3"/>
        <w:ind w:hanging="0" w:start="0"/>
        <w:rPr>
          <w:b w:val="false"/>
          <w:bCs w:val="false"/>
        </w:rPr>
      </w:pPr>
      <w:r>
        <w:rPr>
          <w:b w:val="false"/>
          <w:bCs w:val="false"/>
        </w:rPr>
        <w:t>October 26, 2001</w:t>
      </w:r>
    </w:p>
    <w:p>
      <w:pPr>
        <w:pStyle w:val="Normal"/>
        <w:autoSpaceDE w:val="false"/>
        <w:spacing w:lineRule="atLeast" w:line="240"/>
        <w:rPr>
          <w:rFonts w:ascii="Times" w:hAnsi="Times" w:cs="Times"/>
          <w:b/>
          <w:bCs/>
          <w:sz w:val="28"/>
        </w:rPr>
      </w:pPr>
      <w:r>
        <w:rPr>
          <w:rFonts w:cs="Times" w:ascii="Times" w:hAnsi="Times"/>
          <w:b/>
          <w:bCs/>
          <w:sz w:val="28"/>
        </w:rPr>
      </w:r>
    </w:p>
    <w:p>
      <w:pPr>
        <w:pStyle w:val="Normal"/>
        <w:autoSpaceDE w:val="false"/>
        <w:spacing w:lineRule="atLeast" w:line="240"/>
        <w:rPr>
          <w:rFonts w:ascii="Times" w:hAnsi="Times" w:cs="Times"/>
          <w:b/>
          <w:bCs/>
          <w:sz w:val="28"/>
        </w:rPr>
      </w:pPr>
      <w:r>
        <w:rPr>
          <w:rFonts w:cs="Times" w:ascii="Times" w:hAnsi="Times"/>
          <w:b/>
          <w:bCs/>
          <w:sz w:val="28"/>
        </w:rPr>
      </w:r>
    </w:p>
    <w:p>
      <w:pPr>
        <w:pStyle w:val="Normal"/>
        <w:autoSpaceDE w:val="false"/>
        <w:spacing w:lineRule="atLeast" w:line="240"/>
        <w:rPr>
          <w:rFonts w:ascii="Times" w:hAnsi="Times" w:cs="Times"/>
        </w:rPr>
      </w:pPr>
      <w:r>
        <w:rPr>
          <w:rFonts w:cs="Times" w:ascii="Times" w:hAnsi="Times"/>
        </w:rPr>
        <w:t>On October 24, 2001, FERC issued a DRAFT Order accepting the E Virtual Bidding (VB) Proposal and mitigation measures subject to a modification and requiring a compliance filing  (ER01-3009-000, ER01-3153-000).</w:t>
      </w:r>
    </w:p>
    <w:p>
      <w:pPr>
        <w:pStyle w:val="Normal"/>
        <w:autoSpaceDE w:val="false"/>
        <w:spacing w:lineRule="atLeast" w:line="240"/>
        <w:rPr>
          <w:rFonts w:ascii="Times" w:hAnsi="Times" w:cs="Times"/>
        </w:rPr>
      </w:pPr>
      <w:r>
        <w:rPr>
          <w:rFonts w:cs="Times" w:ascii="Times" w:hAnsi="Times"/>
        </w:rPr>
      </w:r>
    </w:p>
    <w:p>
      <w:pPr>
        <w:pStyle w:val="Normal"/>
        <w:autoSpaceDE w:val="false"/>
        <w:spacing w:lineRule="atLeast" w:line="240"/>
        <w:rPr>
          <w:rFonts w:ascii="Times" w:hAnsi="Times" w:cs="Times"/>
        </w:rPr>
      </w:pPr>
      <w:r>
        <w:rPr>
          <w:rFonts w:cs="Times" w:ascii="Times" w:hAnsi="Times"/>
        </w:rPr>
      </w:r>
    </w:p>
    <w:p>
      <w:pPr>
        <w:pStyle w:val="Normal"/>
        <w:autoSpaceDE w:val="false"/>
        <w:spacing w:lineRule="atLeast" w:line="240"/>
        <w:rPr>
          <w:rFonts w:ascii="Times" w:hAnsi="Times" w:cs="Times"/>
          <w:b/>
          <w:bCs/>
          <w:color w:val="000000"/>
          <w:szCs w:val="20"/>
        </w:rPr>
      </w:pPr>
      <w:r>
        <w:rPr>
          <w:rFonts w:cs="Times" w:ascii="Times" w:hAnsi="Times"/>
          <w:b/>
          <w:bCs/>
          <w:color w:val="000000"/>
          <w:szCs w:val="20"/>
        </w:rPr>
        <w:t>Modification of the Credit Policy and Procedures for Virtual Transactions:</w:t>
      </w:r>
    </w:p>
    <w:p>
      <w:pPr>
        <w:pStyle w:val="Normal"/>
        <w:autoSpaceDE w:val="false"/>
        <w:spacing w:lineRule="atLeast" w:line="240"/>
        <w:rPr>
          <w:rFonts w:ascii="Times" w:hAnsi="Times" w:cs="Times"/>
          <w:b/>
          <w:bCs/>
          <w:color w:val="000000"/>
          <w:szCs w:val="20"/>
        </w:rPr>
      </w:pPr>
      <w:r>
        <w:rPr>
          <w:rFonts w:cs="Times" w:ascii="Times" w:hAnsi="Times"/>
          <w:b/>
          <w:bCs/>
          <w:color w:val="000000"/>
          <w:szCs w:val="20"/>
        </w:rPr>
      </w:r>
    </w:p>
    <w:p>
      <w:pPr>
        <w:pStyle w:val="Normal"/>
        <w:numPr>
          <w:ilvl w:val="0"/>
          <w:numId w:val="3"/>
        </w:numPr>
        <w:autoSpaceDE w:val="false"/>
        <w:spacing w:lineRule="atLeast" w:line="240"/>
        <w:rPr>
          <w:rFonts w:ascii="Times" w:hAnsi="Times" w:cs="Times"/>
          <w:color w:val="000000"/>
          <w:szCs w:val="20"/>
        </w:rPr>
      </w:pPr>
      <w:r>
        <w:rPr>
          <w:rFonts w:cs="Times" w:ascii="Times" w:hAnsi="Times"/>
          <w:color w:val="000000"/>
          <w:szCs w:val="20"/>
        </w:rPr>
        <w:t>The calculation factor has been reduced from 14 to 7.  See the example below.</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numPr>
          <w:ilvl w:val="0"/>
          <w:numId w:val="3"/>
        </w:numPr>
        <w:autoSpaceDE w:val="false"/>
        <w:spacing w:lineRule="atLeast" w:line="240"/>
        <w:rPr>
          <w:rFonts w:ascii="Times" w:hAnsi="Times" w:cs="Times"/>
          <w:color w:val="000000"/>
          <w:szCs w:val="20"/>
        </w:rPr>
      </w:pPr>
      <w:r>
        <w:rPr>
          <w:rFonts w:cs="Times" w:ascii="Times" w:hAnsi="Times"/>
          <w:color w:val="000000"/>
          <w:szCs w:val="20"/>
        </w:rPr>
        <w:t>All other components of the Credit Policy and Procedures remain unchanged.</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BodyText"/>
        <w:rPr/>
      </w:pPr>
      <w:r>
        <w:rPr/>
        <w:t>Collateral Calculation For Applicants For The Virtual Transactions Market:</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autoSpaceDE w:val="false"/>
        <w:spacing w:lineRule="atLeast" w:line="240"/>
        <w:rPr>
          <w:rFonts w:ascii="Times" w:hAnsi="Times" w:cs="Times"/>
          <w:color w:val="000000"/>
          <w:szCs w:val="20"/>
        </w:rPr>
      </w:pPr>
      <w:r>
        <w:rPr>
          <w:rFonts w:cs="Times" w:ascii="Times" w:hAnsi="Times"/>
          <w:color w:val="000000"/>
          <w:szCs w:val="20"/>
        </w:rPr>
        <w:t>The largest price delta observed at the 97th percentile level during June, July, and August 2001, was $159.33. This amount should be rounded to the nearest dollar amount ($159.00) when used in the collateral calculation process.</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autoSpaceDE w:val="false"/>
        <w:spacing w:lineRule="atLeast" w:line="240"/>
        <w:rPr>
          <w:rFonts w:ascii="Times" w:hAnsi="Times" w:cs="Times"/>
          <w:color w:val="000000"/>
          <w:szCs w:val="20"/>
        </w:rPr>
      </w:pPr>
      <w:r>
        <w:rPr>
          <w:rFonts w:cs="Times" w:ascii="Times" w:hAnsi="Times"/>
          <w:color w:val="000000"/>
          <w:szCs w:val="20"/>
        </w:rPr>
        <w:t xml:space="preserve">The collateral formula is as follow:  </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autoSpaceDE w:val="false"/>
        <w:spacing w:lineRule="atLeast" w:line="240"/>
        <w:rPr>
          <w:rFonts w:ascii="Times" w:hAnsi="Times" w:cs="Times"/>
          <w:color w:val="000000"/>
          <w:szCs w:val="20"/>
        </w:rPr>
      </w:pPr>
      <w:r>
        <w:rPr>
          <w:rFonts w:cs="Times" w:ascii="Times" w:hAnsi="Times"/>
          <w:color w:val="000000"/>
          <w:szCs w:val="20"/>
        </w:rPr>
        <w:t>The price delta of $159.00 is multiplied by the exposure calculation factor of 7 ($159.00 x 7 = $1,113.00).  This equals the dollar amount of collateral required per megawatt hour (MWH).  The $1,113.00 is then multiplied by the maximum number of MWHs the Market Participant may wish to bid on a daily basis.  The Market Participant notifies the NYISO of the maximum number of MWHs they may wish to bid per day by completing, executing and returning the ACKNOWLEDGEMENT AND CERTIFICATION OF UNDERSTANDING OF NYISO FINANCIAL ASSURANCE POLICY AND PROCEDURES FOR VIRTUAL TRANSACTIONS.  This document is attached to Addendum A of the NYISO Registration Packet (refer to Page A6 of the Addendum A).  The NYISO Registration Packet is located on the NYISO web site at:</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autoSpaceDE w:val="false"/>
        <w:spacing w:lineRule="atLeast" w:line="240"/>
        <w:rPr>
          <w:rFonts w:ascii="Times" w:hAnsi="Times" w:cs="Times"/>
          <w:color w:val="000000"/>
          <w:szCs w:val="20"/>
        </w:rPr>
      </w:pPr>
      <w:r>
        <w:rPr>
          <w:rFonts w:cs="Times" w:ascii="Times" w:hAnsi="Times"/>
          <w:color w:val="000000"/>
          <w:szCs w:val="20"/>
        </w:rPr>
        <w:t>http://www.nyiso.com/services/relations/cregistration/pdf/nyiso_reg.pdf</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autoSpaceDE w:val="false"/>
        <w:spacing w:lineRule="atLeast" w:line="240"/>
        <w:rPr>
          <w:rFonts w:ascii="Times" w:hAnsi="Times" w:cs="Times"/>
          <w:color w:val="000000"/>
          <w:szCs w:val="20"/>
        </w:rPr>
      </w:pPr>
      <w:r>
        <w:rPr>
          <w:rFonts w:cs="Times" w:ascii="Times" w:hAnsi="Times"/>
          <w:color w:val="000000"/>
          <w:szCs w:val="20"/>
        </w:rPr>
        <w:t>The example used in Addendum A stated the Market Participant wished to bid up to a maximum of 1600 MWHs per day.</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Normal"/>
        <w:autoSpaceDE w:val="false"/>
        <w:spacing w:lineRule="atLeast" w:line="240"/>
        <w:rPr>
          <w:rFonts w:ascii="Times" w:hAnsi="Times" w:cs="Times"/>
          <w:color w:val="000000"/>
          <w:szCs w:val="20"/>
        </w:rPr>
      </w:pPr>
      <w:r>
        <w:rPr>
          <w:rFonts w:cs="Times" w:ascii="Times" w:hAnsi="Times"/>
          <w:color w:val="000000"/>
          <w:szCs w:val="20"/>
        </w:rPr>
        <w:t>In this example, the collateral required would be $1,113.00 x 1600.  Consequently, the collateral requirement to bid up to a maximum of 1600 MWHs per day in the Virtual Transactions Market would be $1,780,800.</w:t>
      </w:r>
    </w:p>
    <w:p>
      <w:pPr>
        <w:pStyle w:val="Normal"/>
        <w:autoSpaceDE w:val="false"/>
        <w:spacing w:lineRule="atLeast" w:line="240"/>
        <w:rPr>
          <w:rFonts w:ascii="Times" w:hAnsi="Times" w:cs="Times"/>
          <w:color w:val="000000"/>
          <w:szCs w:val="20"/>
        </w:rPr>
      </w:pPr>
      <w:r>
        <w:rPr>
          <w:rFonts w:cs="Times" w:ascii="Times" w:hAnsi="Times"/>
          <w:color w:val="000000"/>
          <w:szCs w:val="20"/>
        </w:rPr>
      </w:r>
    </w:p>
    <w:p>
      <w:pPr>
        <w:pStyle w:val="Heading2"/>
        <w:ind w:hanging="0" w:start="0"/>
        <w:rPr/>
      </w:pPr>
      <w:r>
        <w:rPr/>
        <w:t>FERC Draft Order (ER01-3009-000, ER01-3153-000)</w:t>
      </w:r>
    </w:p>
    <w:p>
      <w:pPr>
        <w:pStyle w:val="Normal"/>
        <w:rPr>
          <w:rFonts w:ascii="Times" w:hAnsi="Times" w:cs="Times"/>
          <w:b/>
          <w:bCs/>
        </w:rPr>
      </w:pPr>
      <w:r>
        <w:rPr>
          <w:rFonts w:cs="Times" w:ascii="Times" w:hAnsi="Times"/>
          <w:b/>
          <w:bCs/>
        </w:rPr>
      </w:r>
    </w:p>
    <w:p>
      <w:pPr>
        <w:pStyle w:val="Normal"/>
        <w:rPr>
          <w:rFonts w:ascii="Times" w:hAnsi="Times" w:cs="Times"/>
        </w:rPr>
      </w:pPr>
      <w:r>
        <w:rPr>
          <w:rFonts w:cs="Times" w:ascii="Times" w:hAnsi="Times"/>
        </w:rPr>
        <w:t>In response to a complaint from a group of market participants that the NYISO’s proposed collateral requirements were too high, FERC directed that the NYISO reduce the virtual bidding collateral requirements to 7 days versus the 14 days proposed.</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NYISO’s Board of Directors and the Management Committee (who approved the 14 day collateral proposal by a 93 percent vote) believe that the 14-day collateral proposal is more appropriate at this time.  However, in light of the benefits to the New York market that should be derived from implementing virtual bidding, the NYISO believes that it is important to implement the Virtual Transactions Market on November 1, 2001 as scheduled.</w:t>
      </w:r>
    </w:p>
    <w:p>
      <w:pPr>
        <w:pStyle w:val="Normal"/>
        <w:rPr>
          <w:rFonts w:ascii="Times" w:hAnsi="Times" w:cs="Times"/>
        </w:rPr>
      </w:pPr>
      <w:r>
        <w:rPr>
          <w:rFonts w:cs="Times" w:ascii="Times" w:hAnsi="Times"/>
        </w:rPr>
      </w:r>
    </w:p>
    <w:p>
      <w:pPr>
        <w:pStyle w:val="Normal"/>
        <w:rPr>
          <w:rFonts w:ascii="Times" w:hAnsi="Times" w:cs="Times"/>
        </w:rPr>
      </w:pPr>
      <w:r>
        <w:rPr>
          <w:rFonts w:cs="Times" w:ascii="Times" w:hAnsi="Times"/>
        </w:rPr>
        <w:t>NYISO staff believes that the following safeguards, which FERC did approve as part of the VB credit policy, will allow VB to go forward on November 1, 2001 without creating significant additional risk for the New York market participants:</w:t>
      </w:r>
    </w:p>
    <w:p>
      <w:pPr>
        <w:pStyle w:val="Normal"/>
        <w:rPr>
          <w:rFonts w:ascii="Times" w:hAnsi="Times" w:cs="Times"/>
        </w:rPr>
      </w:pPr>
      <w:r>
        <w:rPr>
          <w:rFonts w:cs="Times" w:ascii="Times" w:hAnsi="Times"/>
        </w:rPr>
      </w:r>
    </w:p>
    <w:p>
      <w:pPr>
        <w:pStyle w:val="Normal"/>
        <w:numPr>
          <w:ilvl w:val="0"/>
          <w:numId w:val="2"/>
        </w:numPr>
        <w:autoSpaceDE w:val="false"/>
        <w:spacing w:lineRule="atLeast" w:line="240"/>
        <w:rPr>
          <w:rFonts w:ascii="Tms Rmn" w:hAnsi="Tms Rmn" w:cs="Tms Rmn"/>
          <w:sz w:val="20"/>
        </w:rPr>
      </w:pPr>
      <w:r>
        <w:rPr>
          <w:rFonts w:cs="Times" w:ascii="Times" w:hAnsi="Times"/>
        </w:rPr>
        <w:t>A market participant will have 1 business day to replenish its collateral to 100 percent when it has incurred a VB obligation that is equal to or greater than 50 percent of its posted collateral; and</w:t>
      </w:r>
    </w:p>
    <w:p>
      <w:pPr>
        <w:pStyle w:val="Normal"/>
        <w:autoSpaceDE w:val="false"/>
        <w:spacing w:lineRule="atLeast" w:line="240"/>
        <w:rPr>
          <w:rFonts w:ascii="Times" w:hAnsi="Times" w:cs="Times"/>
          <w:sz w:val="20"/>
        </w:rPr>
      </w:pPr>
      <w:r>
        <w:rPr>
          <w:rFonts w:cs="Times" w:ascii="Times" w:hAnsi="Times"/>
          <w:sz w:val="20"/>
        </w:rPr>
      </w:r>
    </w:p>
    <w:p>
      <w:pPr>
        <w:pStyle w:val="Normal"/>
        <w:autoSpaceDE w:val="false"/>
        <w:spacing w:lineRule="atLeast" w:line="240"/>
        <w:rPr>
          <w:rFonts w:ascii="Tms Rmn" w:hAnsi="Tms Rmn" w:cs="Tms Rmn"/>
          <w:sz w:val="20"/>
        </w:rPr>
      </w:pPr>
      <w:r>
        <w:rPr>
          <w:rFonts w:cs="Tms Rmn" w:ascii="Tms Rmn" w:hAnsi="Tms Rmn"/>
          <w:sz w:val="20"/>
        </w:rPr>
      </w:r>
    </w:p>
    <w:p>
      <w:pPr>
        <w:pStyle w:val="Normal"/>
        <w:numPr>
          <w:ilvl w:val="0"/>
          <w:numId w:val="2"/>
        </w:numPr>
        <w:autoSpaceDE w:val="false"/>
        <w:spacing w:lineRule="atLeast" w:line="240"/>
        <w:rPr>
          <w:rFonts w:ascii="Tms Rmn" w:hAnsi="Tms Rmn" w:cs="Tms Rmn"/>
          <w:sz w:val="20"/>
        </w:rPr>
      </w:pPr>
      <w:r>
        <w:rPr>
          <w:rFonts w:cs="Tms Rmn" w:ascii="Tms Rmn" w:hAnsi="Tms Rmn"/>
        </w:rPr>
        <w:t>The NYISO has broad-based authority to suspend VB trading if, in its sole determination, there is a significant risk to market participants.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80"/>
        </w:tabs>
        <w:ind w:start="7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outlineLvl w:val="0"/>
    </w:pPr>
    <w:rPr>
      <w:rFonts w:ascii="Times" w:hAnsi="Times" w:cs="Times"/>
      <w:b/>
      <w:bCs/>
      <w:sz w:val="28"/>
    </w:rPr>
  </w:style>
  <w:style w:type="paragraph" w:styleId="Heading2">
    <w:name w:val="heading 2"/>
    <w:basedOn w:val="Normal"/>
    <w:next w:val="Normal"/>
    <w:qFormat/>
    <w:pPr>
      <w:keepNext w:val="true"/>
      <w:numPr>
        <w:ilvl w:val="1"/>
        <w:numId w:val="1"/>
      </w:numPr>
      <w:outlineLvl w:val="1"/>
    </w:pPr>
    <w:rPr>
      <w:rFonts w:ascii="Times" w:hAnsi="Times" w:cs="Times"/>
      <w:b/>
      <w:bCs/>
    </w:rPr>
  </w:style>
  <w:style w:type="paragraph" w:styleId="Heading3">
    <w:name w:val="heading 3"/>
    <w:basedOn w:val="Normal"/>
    <w:next w:val="Normal"/>
    <w:qFormat/>
    <w:pPr>
      <w:keepNext w:val="true"/>
      <w:numPr>
        <w:ilvl w:val="2"/>
        <w:numId w:val="1"/>
      </w:numPr>
      <w:tabs>
        <w:tab w:val="clear" w:pos="720"/>
        <w:tab w:val="left" w:pos="7578" w:leader="none"/>
      </w:tabs>
      <w:jc w:val="cente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Times" w:hAnsi="Times" w:cs="Times"/>
      <w:b/>
      <w:bCs/>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2001-10-26T13:11:00Z</dcterms:created>
  <dc:creator>murphy</dc:creator>
  <dc:description/>
  <dc:language>en-CA</dc:language>
  <cp:lastModifiedBy>murphy</cp:lastModifiedBy>
  <dcterms:modified xsi:type="dcterms:W3CDTF">2001-10-26T14:17:00Z</dcterms:modified>
  <cp:revision>5</cp:revision>
  <dc:subject/>
  <dc:title>FERC APPROVES VIRTUAL BIDDING</dc:title>
</cp:coreProperties>
</file>