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0" w:after="0"/>
        <w:rPr>
          <w:rFonts w:ascii="Arial" w:hAnsi="Arial" w:cs="Arial"/>
        </w:rPr>
      </w:pPr>
      <w:r>
        <w:rPr>
          <w:rFonts w:eastAsia="Arial" w:cs="Arial" w:ascii="Arial" w:hAnsi="Arial"/>
        </w:rPr>
        <w:t xml:space="preserve">  </w:t>
      </w:r>
      <w:r>
        <w:rPr>
          <w:rFonts w:cs="Arial" w:ascii="Arial" w:hAnsi="Arial"/>
        </w:rPr>
        <w:t>UNITED STATES OF AMERICA</w:t>
      </w:r>
    </w:p>
    <w:p>
      <w:pPr>
        <w:pStyle w:val="Center"/>
        <w:spacing w:lineRule="auto" w:line="240" w:before="0" w:after="0"/>
        <w:rPr>
          <w:rFonts w:ascii="Arial" w:hAnsi="Arial" w:cs="Arial"/>
        </w:rPr>
      </w:pPr>
      <w:r>
        <w:rPr>
          <w:rFonts w:cs="Arial" w:ascii="Arial" w:hAnsi="Arial"/>
        </w:rPr>
        <w:t>FEDERAL ENERGY REGULATORY COMMISSION</w:t>
      </w:r>
    </w:p>
    <w:p>
      <w:pPr>
        <w:pStyle w:val="Normal"/>
        <w:jc w:val="center"/>
        <w:rPr>
          <w:rFonts w:ascii="Arial" w:hAnsi="Arial" w:cs="Arial"/>
        </w:rPr>
      </w:pPr>
      <w:r>
        <w:rPr>
          <w:rFonts w:cs="Arial"/>
        </w:rPr>
      </w:r>
    </w:p>
    <w:p>
      <w:pPr>
        <w:pStyle w:val="Center"/>
        <w:spacing w:lineRule="auto" w:line="240" w:before="0" w:after="0"/>
        <w:rPr>
          <w:rFonts w:ascii="Arial" w:hAnsi="Arial" w:cs="Arial"/>
        </w:rPr>
      </w:pPr>
      <w:r>
        <w:rPr>
          <w:rFonts w:cs="Arial" w:ascii="Arial" w:hAnsi="Arial"/>
        </w:rPr>
      </w:r>
    </w:p>
    <w:p>
      <w:pPr>
        <w:pStyle w:val="Normal"/>
        <w:rPr/>
      </w:pPr>
      <w:r>
        <w:rPr/>
        <w:t xml:space="preserve">_____________________________________                                                         </w:t>
      </w:r>
    </w:p>
    <w:p>
      <w:pPr>
        <w:pStyle w:val="Normal"/>
        <w:rPr/>
      </w:pPr>
      <w:r>
        <w:rPr/>
        <w:t xml:space="preserve">Removing Obstacles To Increased        </w:t>
      </w:r>
    </w:p>
    <w:p>
      <w:pPr>
        <w:pStyle w:val="Normal"/>
        <w:rPr/>
      </w:pPr>
      <w:r>
        <w:rPr/>
        <w:t>Electric Generation And Natural Gas Supply               Docket No. EL01-47-000</w:t>
      </w:r>
    </w:p>
    <w:p>
      <w:pPr>
        <w:pStyle w:val="Normal"/>
        <w:rPr/>
      </w:pPr>
      <w:r>
        <w:rPr/>
        <w:softHyphen/>
        <w:softHyphen/>
        <w:softHyphen/>
        <w:softHyphen/>
        <w:softHyphen/>
        <w:softHyphen/>
        <w:softHyphen/>
        <w:softHyphen/>
        <w:softHyphen/>
        <w:t>In The Western United States</w:t>
        <w:tab/>
        <w:tab/>
        <w:tab/>
        <w:tab/>
        <w:tab/>
        <w:tab/>
      </w:r>
    </w:p>
    <w:p>
      <w:pPr>
        <w:pStyle w:val="Normal"/>
        <w:rPr/>
      </w:pPr>
      <w:r>
        <w:rPr/>
        <w:softHyphen/>
        <w:softHyphen/>
        <w:softHyphen/>
        <w:softHyphen/>
        <w:softHyphen/>
        <w:softHyphen/>
        <w:softHyphen/>
        <w:softHyphen/>
        <w:t>_____________________________________</w:t>
      </w:r>
    </w:p>
    <w:p>
      <w:pPr>
        <w:pStyle w:val="Header"/>
        <w:tabs>
          <w:tab w:val="clear" w:pos="4320"/>
          <w:tab w:val="clear" w:pos="8640"/>
        </w:tabs>
        <w:rPr>
          <w:rFonts w:ascii="Arial" w:hAnsi="Arial" w:cs="Arial"/>
        </w:rPr>
      </w:pPr>
      <w:r>
        <w:rPr>
          <w:rFonts w:cs="Arial" w:ascii="Arial" w:hAnsi="Arial"/>
        </w:rPr>
        <w:softHyphen/>
        <w:softHyphen/>
        <w:softHyphen/>
        <w:softHyphen/>
        <w:softHyphen/>
        <w:softHyphen/>
        <w:softHyphen/>
        <w:softHyphen/>
        <w:softHyphen/>
        <w:softHyphen/>
        <w:softHyphen/>
        <w:softHyphen/>
        <w:softHyphen/>
        <w:softHyphen/>
        <w:softHyphen/>
        <w:softHyphen/>
        <w:softHyphen/>
      </w:r>
    </w:p>
    <w:p>
      <w:pPr>
        <w:pStyle w:val="Normal"/>
        <w:rPr>
          <w:rFonts w:ascii="Arial" w:hAnsi="Arial" w:cs="Arial"/>
        </w:rPr>
      </w:pPr>
      <w:r>
        <w:rPr>
          <w:rFonts w:cs="Arial"/>
        </w:rPr>
      </w:r>
    </w:p>
    <w:p>
      <w:pPr>
        <w:pStyle w:val="Normal"/>
        <w:rPr/>
      </w:pPr>
      <w:r>
        <w:rPr/>
      </w:r>
    </w:p>
    <w:p>
      <w:pPr>
        <w:pStyle w:val="Normal"/>
        <w:jc w:val="center"/>
        <w:rPr>
          <w:b/>
        </w:rPr>
      </w:pPr>
      <w: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COMMENTS OF THE ELECTRIC POWER SUPPLY ASSOCIATION</w:t>
      </w:r>
    </w:p>
    <w:p>
      <w:pPr>
        <w:pStyle w:val="Normal"/>
        <w:rPr>
          <w:b/>
        </w:rPr>
      </w:pPr>
      <w:r>
        <w:rPr>
          <w:b/>
        </w:rPr>
      </w:r>
    </w:p>
    <w:p>
      <w:pPr>
        <w:pStyle w:val="BodyTextIndent"/>
        <w:spacing w:lineRule="auto" w:line="480"/>
        <w:rPr/>
      </w:pPr>
      <w:r>
        <w:rPr>
          <w:rFonts w:eastAsia="Arial"/>
        </w:rPr>
        <w:t xml:space="preserve">   </w:t>
      </w:r>
      <w:r>
        <w:rPr/>
        <w:t xml:space="preserve">On March 14, 2001, the Federal Energy Regulatory Commission (Commission or FERC) issued an Order Removing Obstacles To Increased Electric Generation And Natural Gas Supply In the Western United States And Requesting Comments On Further Actions To Increase Energy Supply And Decrease Energy Consumption (Order).  The Order announced certain actions the Commission is taking to promote electric generation supply and delivery in the United States’ portion of the Western Interconnection, requesting comments on those and other related proposals.  </w:t>
      </w:r>
    </w:p>
    <w:p>
      <w:pPr>
        <w:pStyle w:val="BodyTextIndent"/>
        <w:spacing w:lineRule="auto" w:line="480"/>
        <w:rPr/>
      </w:pPr>
      <w:r>
        <w:rPr/>
        <w:t>The Electric Power Supply Association</w:t>
      </w:r>
      <w:r>
        <w:rPr>
          <w:rStyle w:val="FootnoteCharacters"/>
          <w:rStyle w:val="FootnoteReference"/>
          <w:sz w:val="20"/>
        </w:rPr>
        <w:footnoteReference w:id="2"/>
      </w:r>
      <w:r>
        <w:rPr/>
        <w:t xml:space="preserve"> (EPSA) appreciates the Commission’s effort to examine and exercise the full extent of its authority to maximize supply from existing power sources.  We applaud the heightened focus on economic incentives needed to foster infrastructure investment, particularly the Commission’s well-founded concern that entry costs be reduced by eliminating discriminatory or economically disadvantageous procedures relating to interconnection or system upgrades.  Accordingly, EPSA welcomes this opportunity to comment on the measures required to improve the energy shortfall in the West. </w:t>
      </w:r>
    </w:p>
    <w:p>
      <w:pPr>
        <w:pStyle w:val="BodyTextIndent"/>
        <w:spacing w:lineRule="auto" w:line="480"/>
        <w:ind w:hanging="0" w:end="0"/>
        <w:rPr>
          <w:b/>
          <w:sz w:val="28"/>
        </w:rPr>
      </w:pPr>
      <w:r>
        <w:rPr>
          <w:b/>
        </w:rPr>
        <w:t>I.</w:t>
      </w:r>
      <w:r>
        <w:rPr>
          <w:b/>
          <w:sz w:val="28"/>
        </w:rPr>
        <w:tab/>
      </w:r>
      <w:r>
        <w:rPr>
          <w:b/>
        </w:rPr>
        <w:t>Overview:  RTOs Are the Ultimate Solution</w:t>
      </w:r>
    </w:p>
    <w:p>
      <w:pPr>
        <w:pStyle w:val="BodyTextIndent"/>
        <w:spacing w:lineRule="auto" w:line="480"/>
        <w:rPr/>
      </w:pPr>
      <w:r>
        <w:rPr/>
        <w:t>EPSA appreciates the Commission’s effort and commitment to find innovative ways to help ease the West’s immediate energy problems.  Taken together, the Commission’s proposed actions represent positive steps toward rational solutions to the difficult circumstances in the West.  Most importantly, the Order highlights the importance of promoting infrastructure investment, including increased generation, transmission and natural gas pipeline facilities.</w:t>
      </w:r>
    </w:p>
    <w:p>
      <w:pPr>
        <w:pStyle w:val="BodyTextIndent"/>
        <w:spacing w:lineRule="auto" w:line="480"/>
        <w:rPr/>
      </w:pPr>
      <w:r>
        <w:rPr/>
        <w:t>As explained below, the Commission’s immediate actions to obtain every available MW of electricity by removing certain procedural and administrative hurdles may help relieve the supply shortages in the near term.  However, the reliability of the electricity system in the West, and indeed throughout the country, largely depends upon robust, well-functioning competitive markets.  It is vitally important for the Commission to ensure that all market participants are treated fairly and comparably, and to remove obstacles to the successful completion of transactions in wholesale power markets.</w:t>
      </w:r>
    </w:p>
    <w:p>
      <w:pPr>
        <w:pStyle w:val="BodyTextIndent"/>
        <w:spacing w:lineRule="auto" w:line="480"/>
        <w:rPr/>
      </w:pPr>
      <w:r>
        <w:rPr/>
        <w:t>In its Order the Commission acknowledges that it has limited authority to address state and local siting issues associated with the construction of new generation and transmission facilities, an essential element of California’s energy problems.  In addition to general support for the short-term measures the Commission proposes, EPSA is most encouraged that, while attempting to address the immediate circumstances, the Commission remains focused on and committed to the policy direction contained in Order No. 2000.</w:t>
      </w:r>
      <w:r>
        <w:rPr>
          <w:rStyle w:val="FootnoteCharacters"/>
          <w:rStyle w:val="FootnoteReference"/>
        </w:rPr>
        <w:footnoteReference w:id="3"/>
      </w:r>
      <w:r>
        <w:rPr/>
        <w:t xml:space="preserve">  In an effort to squeeze megawatts out of the existing system, no one should mistake the interim measures proposed here with the fundamental changes needed to achieve those policy objectives.  There are no “silver bullets” for poorly designed markets, inadequate generation resources and deficient infrastructure; continuing to apply parochial limitations on those problems poses perhaps the greatest obstacle to the promise and potential of competitive markets and the enhanced reliability they provide.</w:t>
      </w:r>
    </w:p>
    <w:p>
      <w:pPr>
        <w:pStyle w:val="BodyTextIndent"/>
        <w:spacing w:lineRule="auto" w:line="480"/>
        <w:rPr/>
      </w:pPr>
      <w:r>
        <w:rPr/>
        <w:t>Rather, the Commission correctly states that economic and reliability issues must be addressed on a regional basis:</w:t>
      </w:r>
    </w:p>
    <w:p>
      <w:pPr>
        <w:pStyle w:val="BodyTextIndent"/>
        <w:ind w:firstLine="120" w:start="720" w:end="0"/>
        <w:rPr/>
      </w:pPr>
      <w:r>
        <w:rPr/>
        <w:t>“</w:t>
      </w:r>
      <w:r>
        <w:rPr/>
        <w:t>Recent events have demonstrated the regional nature of the electricity markets in the West.  Problems of inadequate generation supply and poor demand responsiveness are made worse by localized electric transmission and gas pipeline capacity bottlenecks and by fragmentation of Western market rules.  A west wide RTO, or a seamless integration of Western RTOs, is the best vehicle for designing and implementing a long-term regional solution.”</w:t>
      </w:r>
      <w:r>
        <w:rPr>
          <w:rStyle w:val="FootnoteCharacters"/>
          <w:rStyle w:val="FootnoteReference"/>
        </w:rPr>
        <w:footnoteReference w:id="4"/>
      </w:r>
      <w:r>
        <w:rPr/>
        <w:t xml:space="preserve">  </w:t>
      </w:r>
    </w:p>
    <w:p>
      <w:pPr>
        <w:pStyle w:val="BodyTextIndent"/>
        <w:rPr/>
      </w:pPr>
      <w:r>
        <w:rPr/>
      </w:r>
    </w:p>
    <w:p>
      <w:pPr>
        <w:pStyle w:val="BodyTextIndent"/>
        <w:spacing w:lineRule="auto" w:line="480"/>
        <w:rPr/>
      </w:pPr>
      <w:r>
        <w:rPr/>
        <w:t xml:space="preserve">EPSA agrees.  Single-state ISOs, and the balkanized markets they promote, have become relics of the past, clearly unsuited and ill-equipped to deal with the current challenge to provide reliable energy supplies over wide geographic areas.  The interim measures contained in the Order may provide some immediate relief; certainly, every effort must be made to bring all available megawatts onto the system.  However, correcting the myriad defects of the dysfunctional California energy market by developing and implementing regional solutions cannot be done overnight.  </w:t>
      </w:r>
    </w:p>
    <w:p>
      <w:pPr>
        <w:pStyle w:val="BodyTextIndent"/>
        <w:spacing w:lineRule="auto" w:line="480"/>
        <w:rPr/>
      </w:pPr>
      <w:r>
        <w:rPr/>
        <w:t>State agencies presently have primary authority over important elements of this situation relating to siting and demand response actions, which may limit the Commission’s immediate options in this particular Order.  Nonetheless, EPSA urges the Commission to aggressively pursue the objectives set forth in Order No. 2000 by closely scrutinizing RTO proposals to ensure meaningful compliance with all eight functions, particularly those relating to geographic scope and interregional coordination.</w:t>
      </w:r>
      <w:r>
        <w:rPr>
          <w:rStyle w:val="FootnoteCharacters"/>
          <w:rStyle w:val="FootnoteReference"/>
        </w:rPr>
        <w:footnoteReference w:id="5"/>
      </w:r>
      <w:r>
        <w:rPr/>
        <w:t xml:space="preserve">       </w:t>
      </w:r>
    </w:p>
    <w:p>
      <w:pPr>
        <w:pStyle w:val="BodyTextIndent"/>
        <w:numPr>
          <w:ilvl w:val="0"/>
          <w:numId w:val="1"/>
        </w:numPr>
        <w:spacing w:lineRule="auto" w:line="480"/>
        <w:rPr>
          <w:b/>
        </w:rPr>
      </w:pPr>
      <w:r>
        <w:rPr>
          <w:b/>
        </w:rPr>
        <w:t>Comments on Short-Term Measures</w:t>
      </w:r>
    </w:p>
    <w:p>
      <w:pPr>
        <w:pStyle w:val="BodyTextIndent"/>
        <w:numPr>
          <w:ilvl w:val="0"/>
          <w:numId w:val="3"/>
        </w:numPr>
        <w:spacing w:lineRule="auto" w:line="480"/>
        <w:rPr>
          <w:b/>
        </w:rPr>
      </w:pPr>
      <w:r>
        <w:rPr>
          <w:b/>
        </w:rPr>
        <w:t>Qualifying Facility (QF) Waivers</w:t>
      </w:r>
    </w:p>
    <w:p>
      <w:pPr>
        <w:pStyle w:val="BodyTextIndent"/>
        <w:spacing w:lineRule="auto" w:line="480"/>
        <w:rPr/>
      </w:pPr>
      <w:r>
        <w:rPr/>
        <w:t>EPSA applauds the Commission’s effort to increase supplies from QFs by extending prior temporary waivers of operating and efficiency standards and fuel use requirements through December 31, 2001 and applying them to the entire Western System Coordinating Council (WSCC).  However, EPSA urges the Commission to adopt additional measures that would unleash even greater amounts of QF power.  The consequences of the failure of host utilities to remain current in fulfilling their financial obligations to QFs are obvious and unacceptable.  Under such circumstances, QFs should be permitted to sell up to 100 percent of its power to the market at market-based rates, without additional FERC rate filings.</w:t>
      </w:r>
    </w:p>
    <w:p>
      <w:pPr>
        <w:pStyle w:val="BodyTextIndent"/>
        <w:spacing w:lineRule="auto" w:line="480"/>
        <w:rPr/>
      </w:pPr>
      <w:r>
        <w:rPr/>
        <w:t>EPSA urges the Commission to also consider the following, related provisions:  (1) QF sales at negotiated rates with third-party buyers should be allowed under existing interconnection arrangements; (2) QFs should not be required to resubmit interconnection requests and/or agreements and associated studies unless there is an associated material increase in the QFs output; (3) the existing power purchase agreements (PPA) will remain in full force and effect, and any sales pursuant to Commission emergency relief orders shall not be grounds for breach of the PPA; (4) subject to mitigation, any revenues a QF receives under a third-party sale shall not affect utility obligations under existing PPAs; and (5) grant waivers of otherwise applicable tariff requirements.</w:t>
      </w:r>
    </w:p>
    <w:p>
      <w:pPr>
        <w:pStyle w:val="BodyTextIndent"/>
        <w:numPr>
          <w:ilvl w:val="0"/>
          <w:numId w:val="3"/>
        </w:numPr>
        <w:spacing w:lineRule="auto" w:line="480"/>
        <w:rPr>
          <w:b/>
        </w:rPr>
      </w:pPr>
      <w:r>
        <w:rPr>
          <w:rFonts w:eastAsia="Arial"/>
          <w:b/>
        </w:rPr>
        <w:t xml:space="preserve"> </w:t>
      </w:r>
      <w:r>
        <w:rPr>
          <w:b/>
        </w:rPr>
        <w:t>Electric Transmission Infrastructure</w:t>
      </w:r>
    </w:p>
    <w:p>
      <w:pPr>
        <w:pStyle w:val="BodyTextIndent"/>
        <w:spacing w:lineRule="auto" w:line="480"/>
        <w:rPr/>
      </w:pPr>
      <w:r>
        <w:rPr/>
        <w:t>The Order states that the Commission believes it can have the greatest impact fostering investments in the transmission system.  The Commission’s proposed actions to create and enhance incentives relating to expanding and improving the transmission infrastructure through higher rates of return on equity (ROE) and accelerated depreciation schedules are positive steps.  The Commission normally conditions such premiums on meaningful participation in RTOs.  However, given the current situation and the immediate impact of any projects that might be entitled to the higher ROE, EPSA supports this proposal.</w:t>
      </w:r>
    </w:p>
    <w:p>
      <w:pPr>
        <w:pStyle w:val="BodyTextIndent"/>
        <w:spacing w:lineRule="auto" w:line="480"/>
        <w:rPr/>
      </w:pPr>
      <w:r>
        <w:rPr/>
        <w:t xml:space="preserve">Further, EPSA believes that new and additional merchant capacity, in conjunction with the Commission’s vigorous pursuit of the objectives contained in Order No. 2000, will largely determine the future of competitive electric power markets.  New and expanded generation projects provide much needed supply, enhance reliability, promote diversity in products and services offered to the market, mitigate market power and contribute to overall market liquidity.  But if this merchant generation is to be built, it must be expeditiously and predictably interconnected to the grid. </w:t>
      </w:r>
    </w:p>
    <w:p>
      <w:pPr>
        <w:pStyle w:val="Normal"/>
        <w:spacing w:lineRule="auto" w:line="480"/>
        <w:ind w:firstLine="720" w:end="0"/>
        <w:rPr/>
      </w:pPr>
      <w:r>
        <w:rPr/>
        <w:t>We applaud the Commission’s focus on the need to interconnect new supply to the bulk power system, along with the upgrades needed to ensure that consumers benefit from increased generation.  In numerous filings last year, EPSA explained the need for a Bill of Rights For New Generation Interconnection (“Bill of Rights”) to establish the framework for a future Commission interconnection policy statement.  The Order provides another opportunity for the Commission to comprehensively address existing and potential problems associated with interconnecting new generation to the grid.</w:t>
      </w:r>
    </w:p>
    <w:p>
      <w:pPr>
        <w:pStyle w:val="Normal"/>
        <w:spacing w:lineRule="auto" w:line="480"/>
        <w:ind w:firstLine="720" w:end="0"/>
        <w:rPr/>
      </w:pPr>
      <w:r>
        <w:rPr/>
        <w:t>Specifically, a new generating project planning to interconnect to the interstate transmission grid should have the right to:</w:t>
      </w:r>
    </w:p>
    <w:p>
      <w:pPr>
        <w:pStyle w:val="Bullet-Large"/>
        <w:numPr>
          <w:ilvl w:val="0"/>
          <w:numId w:val="2"/>
        </w:numPr>
        <w:rPr>
          <w:rFonts w:ascii="Arial" w:hAnsi="Arial" w:cs="Arial"/>
        </w:rPr>
      </w:pPr>
      <w:r>
        <w:rPr>
          <w:rFonts w:cs="Arial" w:ascii="Arial" w:hAnsi="Arial"/>
        </w:rPr>
        <w:t>secure a long-term right to inject power into the grid at the point of interconnection without having to procure any transmission service;</w:t>
      </w:r>
    </w:p>
    <w:p>
      <w:pPr>
        <w:pStyle w:val="Bullet-Large"/>
        <w:numPr>
          <w:ilvl w:val="0"/>
          <w:numId w:val="2"/>
        </w:numPr>
        <w:rPr>
          <w:rFonts w:ascii="Arial" w:hAnsi="Arial" w:cs="Arial"/>
        </w:rPr>
      </w:pPr>
      <w:r>
        <w:rPr>
          <w:rFonts w:cs="Arial" w:ascii="Arial" w:hAnsi="Arial"/>
        </w:rPr>
        <w:t>request interconnection service pursuant to a FERC-approved nondiscriminatory interconnection service tariff or other clearly defined rules and procedures governing requests for new transmission interconnections;</w:t>
      </w:r>
    </w:p>
    <w:p>
      <w:pPr>
        <w:pStyle w:val="Bullet-Large"/>
        <w:numPr>
          <w:ilvl w:val="0"/>
          <w:numId w:val="2"/>
        </w:numPr>
        <w:rPr>
          <w:rFonts w:ascii="Arial" w:hAnsi="Arial" w:cs="Arial"/>
        </w:rPr>
      </w:pPr>
      <w:r>
        <w:rPr>
          <w:rFonts w:cs="Arial" w:ascii="Arial" w:hAnsi="Arial"/>
        </w:rPr>
        <w:t>have all interconnection studies and analyses performed by an ISO/RTO or other qualified independent contractor (operating under the direction and control of the ISO/RTO, once established)</w:t>
      </w:r>
    </w:p>
    <w:p>
      <w:pPr>
        <w:pStyle w:val="Bullet-Large"/>
        <w:numPr>
          <w:ilvl w:val="0"/>
          <w:numId w:val="2"/>
        </w:numPr>
        <w:rPr>
          <w:rFonts w:ascii="Arial" w:hAnsi="Arial" w:cs="Arial"/>
        </w:rPr>
      </w:pPr>
      <w:r>
        <w:rPr>
          <w:rFonts w:cs="Arial" w:ascii="Arial" w:hAnsi="Arial"/>
        </w:rPr>
        <w:t>participate in the interconnection study process and to have the new interconnection completed in an expeditious manner;</w:t>
      </w:r>
    </w:p>
    <w:p>
      <w:pPr>
        <w:pStyle w:val="Bullet-Large"/>
        <w:numPr>
          <w:ilvl w:val="0"/>
          <w:numId w:val="2"/>
        </w:numPr>
        <w:rPr>
          <w:rFonts w:ascii="Arial" w:hAnsi="Arial" w:cs="Arial"/>
        </w:rPr>
      </w:pPr>
      <w:r>
        <w:rPr>
          <w:rFonts w:cs="Arial" w:ascii="Arial" w:hAnsi="Arial"/>
        </w:rPr>
        <w:t>execute a FERC-approved interconnection agreement that comprehensively delineates exactly what is necessary in order for the project safely and reliably to interconnect to the grid;</w:t>
      </w:r>
    </w:p>
    <w:p>
      <w:pPr>
        <w:pStyle w:val="Bullet-Large"/>
        <w:numPr>
          <w:ilvl w:val="0"/>
          <w:numId w:val="2"/>
        </w:numPr>
        <w:rPr>
          <w:rFonts w:ascii="Arial" w:hAnsi="Arial" w:cs="Arial"/>
        </w:rPr>
      </w:pPr>
      <w:r>
        <w:rPr>
          <w:rFonts w:cs="Arial" w:ascii="Arial" w:hAnsi="Arial"/>
        </w:rPr>
        <w:t xml:space="preserve">receive a binding commitment as to all interconnection costs and to own certain of the new interconnection facilities; </w:t>
      </w:r>
    </w:p>
    <w:p>
      <w:pPr>
        <w:pStyle w:val="Bullet-Large"/>
        <w:numPr>
          <w:ilvl w:val="0"/>
          <w:numId w:val="2"/>
        </w:numPr>
        <w:rPr>
          <w:rFonts w:ascii="Arial" w:hAnsi="Arial" w:cs="Arial"/>
        </w:rPr>
      </w:pPr>
      <w:r>
        <w:rPr>
          <w:rFonts w:cs="Arial" w:ascii="Arial" w:hAnsi="Arial"/>
        </w:rPr>
        <w:t xml:space="preserve">receive a binding commitment as to the construction schedule, with rights to liquidated damages if the interconnection service provider fails to perform on schedule; </w:t>
      </w:r>
    </w:p>
    <w:p>
      <w:pPr>
        <w:pStyle w:val="Bullet-Large"/>
        <w:numPr>
          <w:ilvl w:val="0"/>
          <w:numId w:val="2"/>
        </w:numPr>
        <w:rPr>
          <w:rFonts w:ascii="Arial" w:hAnsi="Arial" w:cs="Arial"/>
        </w:rPr>
      </w:pPr>
      <w:r>
        <w:rPr>
          <w:rFonts w:cs="Arial" w:ascii="Arial" w:hAnsi="Arial"/>
        </w:rPr>
        <w:t>at its option, ensure the deliverability of its generation when it requests interconnection service; and</w:t>
      </w:r>
    </w:p>
    <w:p>
      <w:pPr>
        <w:pStyle w:val="Bullet-Large"/>
        <w:numPr>
          <w:ilvl w:val="0"/>
          <w:numId w:val="2"/>
        </w:numPr>
        <w:rPr>
          <w:rFonts w:ascii="Arial" w:hAnsi="Arial" w:cs="Arial"/>
        </w:rPr>
      </w:pPr>
      <w:r>
        <w:rPr>
          <w:rFonts w:cs="Arial" w:ascii="Arial" w:hAnsi="Arial"/>
        </w:rPr>
        <w:t>obtain the benefit of any transmission system upgrades or enhancements for which the generator has paid</w:t>
      </w:r>
      <w:r>
        <w:rPr/>
        <w:t>.</w:t>
      </w:r>
    </w:p>
    <w:p>
      <w:pPr>
        <w:pStyle w:val="BodyTextStyle"/>
        <w:rPr>
          <w:rFonts w:ascii="Arial" w:hAnsi="Arial" w:cs="Arial"/>
        </w:rPr>
      </w:pPr>
      <w:r>
        <w:rPr>
          <w:rFonts w:cs="Arial" w:ascii="Arial" w:hAnsi="Arial"/>
        </w:rPr>
        <w:t>As we have asserted in previous filings, EPSA believes that, in order for the electric power industry, and, ultimately, the consumers of electricity, to realize the full benefits of competition, the interconnection process must be reformed.  With respect to the Western Interconnection which is the focus of the Order, requiring the implementation of the Bill of Rights, presumably within the context of the Commission’s review of RTO proposals, would be a significant step toward ensuring the most efficient and fair interconnection process.   The best way to accelerate the interconnection process is for the Commission to address both the generator’s rights, as discussed above, and the interconnection service provider’s obligations with respect to new interconnection requests in conjunction with RTO proposals.  Interconnection-specific standardized rules and tariff procedures for requesting interconnection service will streamline the entire interconnection process, and contribute to moderating supply/demand imbalances.</w:t>
      </w:r>
    </w:p>
    <w:p>
      <w:pPr>
        <w:pStyle w:val="BodyTextStyle"/>
        <w:rPr/>
      </w:pPr>
      <w:r>
        <w:rPr>
          <w:rFonts w:cs="Arial" w:ascii="Arial" w:hAnsi="Arial"/>
        </w:rPr>
        <w:t>With respect to the treatment of interconnection or system upgrade costs, in light of the extreme circumstances the Order addresses and the urgent need to increase power supplies on the Western system, EPSA supports the Commission’s proposal to roll these costs into the average system rate.</w:t>
      </w:r>
      <w:r>
        <w:rPr>
          <w:rStyle w:val="FootnoteCharacters"/>
          <w:rStyle w:val="FootnoteReference"/>
          <w:rFonts w:cs="Arial" w:ascii="Arial" w:hAnsi="Arial"/>
        </w:rPr>
        <w:footnoteReference w:id="6"/>
      </w:r>
      <w:r>
        <w:rPr>
          <w:rFonts w:cs="Arial" w:ascii="Arial" w:hAnsi="Arial"/>
        </w:rPr>
        <w:t xml:space="preserve">  However, interconnection costs are just one potential barrier to entry that deserve Commission attention and action.  EPSA also remains concerned about other potential barriers to entry into competitive markets and open access to the transmission system that must be resolved through the regional solutions embodied in Order No. 2000.  While perhaps somewhat less conspicuous or politically charged, solutions to these problems are no less urgent. </w:t>
      </w:r>
    </w:p>
    <w:p>
      <w:pPr>
        <w:pStyle w:val="BodyTextStyle"/>
        <w:numPr>
          <w:ilvl w:val="0"/>
          <w:numId w:val="3"/>
        </w:numPr>
        <w:rPr>
          <w:rFonts w:ascii="Arial" w:hAnsi="Arial" w:cs="Arial"/>
        </w:rPr>
      </w:pPr>
      <w:r>
        <w:rPr>
          <w:rFonts w:cs="Arial" w:ascii="Arial" w:hAnsi="Arial"/>
          <w:b/>
        </w:rPr>
        <w:t>Natural Gas Pipeline Capacity</w:t>
      </w:r>
      <w:r>
        <w:rPr>
          <w:rFonts w:cs="Arial" w:ascii="Arial" w:hAnsi="Arial"/>
        </w:rPr>
        <w:t xml:space="preserve"> </w:t>
      </w:r>
    </w:p>
    <w:p>
      <w:pPr>
        <w:pStyle w:val="BodyTextStyle"/>
        <w:ind w:firstLine="720" w:end="0"/>
        <w:rPr>
          <w:rFonts w:ascii="Arial" w:hAnsi="Arial" w:cs="Arial"/>
        </w:rPr>
      </w:pPr>
      <w:r>
        <w:rPr>
          <w:rFonts w:cs="Arial" w:ascii="Arial" w:hAnsi="Arial"/>
        </w:rPr>
        <w:t>The limited availability due to pipeline capacity constraints and the escalation in the price for natural gas supplies as fuel source for electric generators has been prominently featured in descriptions of California’s energy problems.  Accordingly, EPSA appreciates the Commission’s effort to increase pipeline capacity and measures to expand the gas infrastructure.  Particularly, the proposed waivers of blanket certificate regulations, and the creation of rate incentives to expedite construction projects, are welcome developments.</w:t>
      </w:r>
    </w:p>
    <w:p>
      <w:pPr>
        <w:pStyle w:val="BodyTextStyle"/>
        <w:ind w:firstLine="720" w:end="0"/>
        <w:rPr/>
      </w:pPr>
      <w:r>
        <w:rPr>
          <w:rFonts w:cs="Arial" w:ascii="Arial" w:hAnsi="Arial"/>
        </w:rPr>
        <w:t>However, there are certain points relating to measures designed to increase rates of return on gas transportation projects that the Commission should weigh and consider.  At present, there are numerous planned expansions on interstate pipelines bringing gas into California.  We understand that protracted environmental review, rather than a lack of investment opportunities, often accounts for the delays in launching and completing these projects.</w:t>
      </w:r>
      <w:r>
        <w:rPr>
          <w:rStyle w:val="FootnoteCharacters"/>
          <w:rStyle w:val="FootnoteReference"/>
          <w:rFonts w:cs="Arial" w:ascii="Arial" w:hAnsi="Arial"/>
        </w:rPr>
        <w:footnoteReference w:id="7"/>
      </w:r>
      <w:r>
        <w:rPr>
          <w:rFonts w:cs="Arial" w:ascii="Arial" w:hAnsi="Arial"/>
        </w:rPr>
        <w:t xml:space="preserve">  Therefore, concerns with increased transportation costs that may result from incentives for new pipeline projects might be eased if such incentives were extended only for the Summer, 2001.  In addition, bottleneck transportation facilities in California occur on the intrastate system, outside the Commission’s jurisdiction.</w:t>
      </w:r>
    </w:p>
    <w:p>
      <w:pPr>
        <w:pStyle w:val="BodyTextStyle"/>
        <w:ind w:firstLine="720" w:end="0"/>
        <w:rPr>
          <w:rFonts w:ascii="Arial" w:hAnsi="Arial" w:cs="Arial"/>
          <w:b/>
        </w:rPr>
      </w:pPr>
      <w:r>
        <w:rPr>
          <w:rFonts w:cs="Arial" w:ascii="Arial" w:hAnsi="Arial"/>
          <w:b/>
        </w:rPr>
        <w:t>Conclusion</w:t>
      </w:r>
    </w:p>
    <w:p>
      <w:pPr>
        <w:pStyle w:val="BodyTextStyle"/>
        <w:ind w:hanging="0" w:end="0"/>
        <w:rPr/>
      </w:pPr>
      <w:r>
        <w:rPr>
          <w:rFonts w:cs="Arial" w:ascii="Arial" w:hAnsi="Arial"/>
          <w:b/>
        </w:rPr>
        <w:tab/>
      </w:r>
      <w:r>
        <w:rPr>
          <w:rFonts w:cs="Arial" w:ascii="Arial" w:hAnsi="Arial"/>
        </w:rPr>
        <w:t xml:space="preserve">EPSA applauds the Commission’s initiative in making every effort to address the energy problems in the West.  These interim measures may bring an important amount of additional power onto the system in the near term.  However, we also agree with the Commission’s view that the longer-term solutions require more fundamental changes that can only be accomplished on a regional scale. We look forward to continuing to work with the Commission, its </w:t>
      </w:r>
    </w:p>
    <w:p>
      <w:pPr>
        <w:pStyle w:val="BodyTextStyle"/>
        <w:ind w:hanging="0" w:end="0"/>
        <w:rPr>
          <w:rFonts w:ascii="Arial" w:hAnsi="Arial" w:cs="Arial"/>
        </w:rPr>
      </w:pPr>
      <w:r>
        <w:rPr>
          <w:rFonts w:cs="Arial" w:ascii="Arial" w:hAnsi="Arial"/>
        </w:rPr>
      </w:r>
    </w:p>
    <w:p>
      <w:pPr>
        <w:pStyle w:val="BodyTextStyle"/>
        <w:ind w:hanging="0" w:end="0"/>
        <w:rPr>
          <w:rFonts w:ascii="Arial" w:hAnsi="Arial" w:cs="Arial"/>
        </w:rPr>
      </w:pPr>
      <w:r>
        <w:rPr>
          <w:rFonts w:cs="Arial" w:ascii="Arial" w:hAnsi="Arial"/>
        </w:rPr>
        <w:t>staff and other parties to achieve the goals set forth in Order No. 2000.</w:t>
      </w:r>
    </w:p>
    <w:p>
      <w:pPr>
        <w:pStyle w:val="BodyTextStyle"/>
        <w:ind w:hanging="0" w:end="0"/>
        <w:rPr>
          <w:rFonts w:ascii="Arial" w:hAnsi="Arial" w:cs="Arial"/>
        </w:rPr>
      </w:pPr>
      <w:r>
        <w:rPr>
          <w:rFonts w:cs="Arial" w:ascii="Arial" w:hAnsi="Arial"/>
        </w:rPr>
      </w:r>
    </w:p>
    <w:p>
      <w:pPr>
        <w:pStyle w:val="BodyTextStyle"/>
        <w:ind w:hanging="0" w:end="0"/>
        <w:rPr>
          <w:rFonts w:ascii="Arial" w:hAnsi="Arial" w:cs="Arial"/>
        </w:rPr>
      </w:pPr>
      <w:r>
        <w:rPr>
          <w:rFonts w:cs="Arial" w:ascii="Arial" w:hAnsi="Arial"/>
        </w:rPr>
      </w:r>
    </w:p>
    <w:p>
      <w:pPr>
        <w:pStyle w:val="Normal"/>
        <w:ind w:firstLine="720" w:start="3600" w:end="0"/>
        <w:rPr/>
      </w:pPr>
      <w:r>
        <w:rPr/>
        <w:t>Respectfully submitted,</w:t>
      </w:r>
    </w:p>
    <w:p>
      <w:pPr>
        <w:pStyle w:val="Normal"/>
        <w:rPr/>
      </w:pPr>
      <w:r>
        <w:rPr/>
      </w:r>
    </w:p>
    <w:p>
      <w:pPr>
        <w:pStyle w:val="Normal"/>
        <w:rPr/>
      </w:pPr>
      <w:r>
        <w:rPr/>
      </w:r>
    </w:p>
    <w:p>
      <w:pPr>
        <w:pStyle w:val="Normal"/>
        <w:rPr/>
      </w:pPr>
      <w:r>
        <w:rPr/>
        <w:tab/>
        <w:tab/>
        <w:tab/>
        <w:tab/>
        <w:tab/>
        <w:tab/>
        <w:t>_________________________</w:t>
      </w:r>
    </w:p>
    <w:p>
      <w:pPr>
        <w:pStyle w:val="Normal"/>
        <w:ind w:start="4320" w:end="0"/>
        <w:rPr/>
      </w:pPr>
      <w:r>
        <w:rPr/>
        <w:t>Julie Simon, Vice President of Policy</w:t>
      </w:r>
    </w:p>
    <w:p>
      <w:pPr>
        <w:pStyle w:val="Normal"/>
        <w:ind w:start="4320" w:end="0"/>
        <w:rPr/>
      </w:pPr>
      <w:r>
        <w:rPr/>
        <w:t>Mark E. Bennett, Senior Manager of Policy</w:t>
      </w:r>
    </w:p>
    <w:p>
      <w:pPr>
        <w:pStyle w:val="BodyTextIndent3"/>
        <w:rPr/>
      </w:pPr>
      <w:r>
        <w:rPr/>
        <w:t>Electric Power Supply Association</w:t>
      </w:r>
    </w:p>
    <w:p>
      <w:pPr>
        <w:pStyle w:val="Normal"/>
        <w:rPr/>
      </w:pPr>
      <w:r>
        <w:rPr/>
        <w:tab/>
        <w:tab/>
        <w:tab/>
        <w:tab/>
        <w:tab/>
        <w:tab/>
        <w:t>1401 New York Avenue, NW</w:t>
      </w:r>
    </w:p>
    <w:p>
      <w:pPr>
        <w:pStyle w:val="Normal"/>
        <w:rPr/>
      </w:pPr>
      <w:r>
        <w:rPr/>
        <w:tab/>
        <w:tab/>
        <w:tab/>
        <w:tab/>
        <w:tab/>
        <w:tab/>
        <w:t>Washington, D.C.  20005</w:t>
      </w:r>
    </w:p>
    <w:p>
      <w:pPr>
        <w:pStyle w:val="Normal"/>
        <w:rPr/>
      </w:pPr>
      <w:r>
        <w:rPr/>
        <w:tab/>
        <w:tab/>
        <w:tab/>
        <w:tab/>
        <w:tab/>
        <w:tab/>
        <w:t>(202) 628-8200</w:t>
      </w:r>
    </w:p>
    <w:p>
      <w:pPr>
        <w:pStyle w:val="Normal"/>
        <w:rPr/>
      </w:pPr>
      <w:r>
        <w:rPr/>
      </w:r>
    </w:p>
    <w:p>
      <w:pPr>
        <w:pStyle w:val="Normal"/>
        <w:rPr/>
      </w:pPr>
      <w:r>
        <w:rPr/>
      </w:r>
    </w:p>
    <w:p>
      <w:pPr>
        <w:pStyle w:val="Normal"/>
        <w:rPr/>
      </w:pPr>
      <w:r>
        <w:rPr/>
        <w:t>Dated:  March 30, 2001</w:t>
      </w:r>
    </w:p>
    <w:p>
      <w:pPr>
        <w:pStyle w:val="BodyTextStyle"/>
        <w:ind w:hanging="0" w:end="0"/>
        <w:rPr>
          <w:rFonts w:ascii="Arial" w:hAnsi="Arial" w:cs="Arial"/>
        </w:rPr>
      </w:pPr>
      <w:r>
        <w:rPr>
          <w:rFonts w:cs="Arial" w:ascii="Arial" w:hAnsi="Arial"/>
        </w:rPr>
      </w:r>
    </w:p>
    <w:p>
      <w:pPr>
        <w:pStyle w:val="BodyTextStyle"/>
        <w:ind w:hanging="0" w:end="0"/>
        <w:rPr>
          <w:rFonts w:ascii="Arial" w:hAnsi="Arial" w:cs="Arial"/>
        </w:rPr>
      </w:pPr>
      <w:r>
        <w:rPr>
          <w:rFonts w:cs="Arial" w:ascii="Arial" w:hAnsi="Arial"/>
        </w:rPr>
      </w:r>
    </w:p>
    <w:p>
      <w:pPr>
        <w:pStyle w:val="BodyTextStyle"/>
        <w:ind w:firstLine="720" w:end="0"/>
        <w:rPr>
          <w:rFonts w:ascii="Arial" w:hAnsi="Arial" w:cs="Arial"/>
          <w:b/>
        </w:rPr>
      </w:pPr>
      <w:r>
        <w:rPr>
          <w:rFonts w:cs="Arial" w:ascii="Arial" w:hAnsi="Arial"/>
          <w:b/>
        </w:rPr>
      </w:r>
    </w:p>
    <w:p>
      <w:pPr>
        <w:pStyle w:val="BodyTextStyle"/>
        <w:ind w:firstLine="720" w:end="0"/>
        <w:rPr>
          <w:rFonts w:ascii="Arial" w:hAnsi="Arial" w:cs="Arial"/>
          <w:b/>
        </w:rPr>
      </w:pPr>
      <w:r>
        <w:rPr>
          <w:rFonts w:cs="Arial" w:ascii="Arial" w:hAnsi="Arial"/>
          <w:b/>
        </w:rPr>
      </w:r>
    </w:p>
    <w:p>
      <w:pPr>
        <w:pStyle w:val="BodyTextStyle"/>
        <w:ind w:firstLine="720" w:end="0"/>
        <w:rPr>
          <w:rFonts w:ascii="Arial" w:hAnsi="Arial" w:eastAsia="Arial" w:cs="Arial"/>
        </w:rPr>
      </w:pPr>
      <w:r>
        <w:rPr>
          <w:rFonts w:eastAsia="Arial" w:cs="Arial" w:ascii="Arial" w:hAnsi="Arial"/>
        </w:rPr>
        <w:t xml:space="preserve">          </w:t>
      </w:r>
    </w:p>
    <w:p>
      <w:pPr>
        <w:pStyle w:val="BodyTextStyle"/>
        <w:rPr>
          <w:rFonts w:ascii="Arial" w:hAnsi="Arial" w:cs="Arial"/>
        </w:rPr>
      </w:pPr>
      <w:r>
        <w:rPr>
          <w:rFonts w:cs="Arial" w:ascii="Arial" w:hAnsi="Arial"/>
        </w:rPr>
      </w:r>
    </w:p>
    <w:p>
      <w:pPr>
        <w:pStyle w:val="Bullet-Large"/>
        <w:numPr>
          <w:ilvl w:val="0"/>
          <w:numId w:val="0"/>
        </w:numPr>
        <w:ind w:hanging="0" w:start="0"/>
        <w:rPr>
          <w:rFonts w:ascii="Arial" w:hAnsi="Arial" w:cs="Arial"/>
        </w:rPr>
      </w:pPr>
      <w:r>
        <w:rPr>
          <w:rFonts w:cs="Arial" w:ascii="Arial" w:hAnsi="Arial"/>
        </w:rPr>
      </w:r>
    </w:p>
    <w:p>
      <w:pPr>
        <w:pStyle w:val="BodyTextIndent"/>
        <w:spacing w:lineRule="auto" w:line="480"/>
        <w:rPr>
          <w:rFonts w:ascii="Arial" w:hAnsi="Arial" w:cs="Arial"/>
        </w:rPr>
      </w:pPr>
      <w:r>
        <w:rPr>
          <w:rFonts w:cs="Arial"/>
        </w:rPr>
      </w:r>
    </w:p>
    <w:p>
      <w:pPr>
        <w:pStyle w:val="BodyTextIndent"/>
        <w:spacing w:lineRule="auto" w:line="480"/>
        <w:rPr/>
      </w:pPr>
      <w:r>
        <w:rPr/>
      </w:r>
    </w:p>
    <w:p>
      <w:pPr>
        <w:pStyle w:val="BodyTextIndent"/>
        <w:spacing w:lineRule="auto" w:line="480"/>
        <w:rPr/>
      </w:pPr>
      <w:r>
        <w:rPr/>
      </w:r>
    </w:p>
    <w:p>
      <w:pPr>
        <w:pStyle w:val="BodyTextIndent"/>
        <w:spacing w:lineRule="auto" w:line="480"/>
        <w:rPr/>
      </w:pPr>
      <w:r>
        <w:rPr/>
      </w:r>
    </w:p>
    <w:p>
      <w:pPr>
        <w:pStyle w:val="BodyTextIndent"/>
        <w:spacing w:lineRule="auto" w:line="480"/>
        <w:ind w:hanging="0" w:end="0"/>
        <w:rPr/>
      </w:pPr>
      <w:r>
        <w:rPr/>
      </w:r>
    </w:p>
    <w:p>
      <w:pPr>
        <w:pStyle w:val="BodyTextIndent"/>
        <w:spacing w:lineRule="auto" w:line="480"/>
        <w:ind w:hanging="0" w:end="0"/>
        <w:rPr/>
      </w:pPr>
      <w:r>
        <w:rPr/>
      </w:r>
    </w:p>
    <w:p>
      <w:pPr>
        <w:pStyle w:val="BodyTextIndent"/>
        <w:spacing w:lineRule="auto" w:line="480"/>
        <w:rPr>
          <w:b/>
          <w:sz w:val="28"/>
        </w:rPr>
      </w:pPr>
      <w:r>
        <w:rPr>
          <w:b/>
          <w:sz w:val="28"/>
        </w:rPr>
      </w:r>
    </w:p>
    <w:p>
      <w:pPr>
        <w:pStyle w:val="BodyTextIndent"/>
        <w:spacing w:lineRule="auto" w:line="480"/>
        <w:rPr>
          <w:b/>
          <w:sz w:val="28"/>
        </w:rPr>
      </w:pPr>
      <w:r>
        <w:rPr>
          <w:b/>
          <w:sz w:val="28"/>
        </w:rPr>
      </w:r>
    </w:p>
    <w:p>
      <w:pPr>
        <w:pStyle w:val="Normal"/>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1 EPSA is the national trade association representing competitive power suppliers active in U.S. and global power markets.  EPSA’s members, which include power generators, power marketers and suppliers of goods and services in the electric power supply industry, share a commitment to bringing the benefits of competition to all electric customers.  The comments contained in this filing represent the position of EPSA as an organization, but not necessarily the views of any particular member with respect to any issue.</w:t>
      </w:r>
    </w:p>
    <w:p>
      <w:pPr>
        <w:pStyle w:val="FootnoteText"/>
        <w:rPr/>
      </w:pPr>
      <w:r>
        <w:rPr/>
      </w:r>
    </w:p>
  </w:footnote>
  <w:footnote w:id="3">
    <w:p>
      <w:pPr>
        <w:pStyle w:val="FootnoteText"/>
        <w:rPr/>
      </w:pPr>
      <w:r>
        <w:rPr>
          <w:rStyle w:val="FootnoteCharacters"/>
        </w:rPr>
        <w:footnoteRef/>
      </w:r>
      <w:r>
        <w:rPr/>
        <w:t xml:space="preserve"> </w:t>
      </w:r>
      <w:r>
        <w:rPr>
          <w:i/>
        </w:rPr>
        <w:t>Regional Transmission Organizations</w:t>
      </w:r>
      <w:r>
        <w:rPr/>
        <w:t xml:space="preserve">, III FERC Stats. and Regs (1999) (“Order No. 2000”); </w:t>
      </w:r>
      <w:r>
        <w:rPr>
          <w:i/>
        </w:rPr>
        <w:t>order on reh’g</w:t>
      </w:r>
      <w:r>
        <w:rPr/>
        <w:t>, III FERC Stats. and Regs., Regs (2000) (“Order No. 2000-A”).</w:t>
      </w:r>
    </w:p>
    <w:p>
      <w:pPr>
        <w:pStyle w:val="FootnoteText"/>
        <w:rPr/>
      </w:pPr>
      <w:r>
        <w:rPr/>
      </w:r>
    </w:p>
  </w:footnote>
  <w:footnote w:id="4">
    <w:p>
      <w:pPr>
        <w:pStyle w:val="FootnoteText"/>
        <w:rPr/>
      </w:pPr>
      <w:r>
        <w:rPr>
          <w:rStyle w:val="FootnoteCharacters"/>
        </w:rPr>
        <w:footnoteRef/>
      </w:r>
      <w:r>
        <w:rPr/>
        <w:t xml:space="preserve"> </w:t>
      </w:r>
      <w:r>
        <w:rPr/>
        <w:t>Order at p. 22 (slip op.)</w:t>
      </w:r>
    </w:p>
  </w:footnote>
  <w:footnote w:id="5">
    <w:p>
      <w:pPr>
        <w:pStyle w:val="FootnoteText"/>
        <w:rPr/>
      </w:pPr>
      <w:r>
        <w:rPr>
          <w:rStyle w:val="FootnoteCharacters"/>
        </w:rPr>
        <w:footnoteRef/>
      </w:r>
      <w:r>
        <w:rPr/>
        <w:t>Among other things, Function 8 requires that RTOs “must ensure the integration of reliability practices within an interconnection and market interface practices among regions.” 65 Fed. Reg. 810,911 (Jan. 6, 2000). Unfortunately, the initial RTO filings revealed meager attempts to fully comply with this aspect of Order No. 2000.  Additionally, in its November 1, 2000 Order, the Commission attributed much of the cause of the problems in California to the balkanization of the Western grid.  The FERC Staff report “Investigation into Bulk Power Markets” reinforced this conclusion by highlighting significant seams problems among the regions.  Therefore, on December 15, 2000, EPSA, the Electricity Consumers Resource Council (ELCON), Enron Power Marketing Inc, Reliant Energy Power Generation, Inc and Dynegy Inc filed a petition for a technical conference on Function 8.  In contrast to the instant Order wherein the Commission’s authorities are, by its own description, limited, establishing a technical conference could provide much needed impetus, direction and the framework for overcoming the difficulties associated with coordinating reliability and market interface practices.  EPSA submits that this is another situation that warrants the exercise of full FERC authority, and again urges the Commission to take charge of this process as soon as possible.</w:t>
      </w:r>
    </w:p>
  </w:footnote>
  <w:footnote w:id="6">
    <w:p>
      <w:pPr>
        <w:pStyle w:val="FootnoteText"/>
        <w:rPr/>
      </w:pPr>
      <w:r>
        <w:rPr>
          <w:rStyle w:val="FootnoteCharacters"/>
        </w:rPr>
        <w:footnoteRef/>
      </w:r>
      <w:r>
        <w:rPr/>
        <w:t xml:space="preserve"> </w:t>
      </w:r>
      <w:r>
        <w:rPr/>
        <w:t>The question of whether interconnection costs should be handled on a rolled-in or incremental basis begs the more difficult question of what those interconnection costs are.  In many instances, transmission owners expect project developers to subsidize or pay for transmission upgrades that are unrelated to the cost of interconnection.</w:t>
      </w:r>
    </w:p>
  </w:footnote>
  <w:footnote w:id="7">
    <w:p>
      <w:pPr>
        <w:pStyle w:val="FootnoteText"/>
        <w:rPr/>
      </w:pPr>
      <w:r>
        <w:rPr>
          <w:rStyle w:val="FootnoteCharacters"/>
        </w:rPr>
        <w:footnoteRef/>
      </w:r>
      <w:r>
        <w:rPr/>
        <w:t xml:space="preserve"> </w:t>
      </w:r>
      <w:r>
        <w:rPr/>
        <w:t xml:space="preserve">An example of the scenario referred to here is the Kern River expansion of 135,000 mcfd, which is dependent upon emissions permits for gas-fired compression at Daggett in California.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32"/>
      </w:rPr>
    </w:pPr>
    <w:r>
      <w:rPr>
        <w:rFonts w:cs="Arial" w:ascii="Arial" w:hAnsi="Arial"/>
        <w:b/>
        <w:sz w:val="32"/>
      </w:rPr>
      <w:t>DRAFT</w:t>
    </w:r>
  </w:p>
  <w:p>
    <w:pPr>
      <w:pStyle w:val="Header"/>
      <w:jc w:val="end"/>
      <w:rPr>
        <w:rFonts w:ascii="Arial" w:hAnsi="Arial" w:cs="Arial"/>
        <w:b/>
      </w:rPr>
    </w:pPr>
    <w:r>
      <w:rPr>
        <w:rFonts w:cs="Arial" w:ascii="Arial" w:hAnsi="Arial"/>
        <w:b/>
      </w:rPr>
      <w:t>3/26/01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Roman"/>
      <w:lvlText w:val="%1."/>
      <w:lvlJc w:val="start"/>
      <w:pPr>
        <w:tabs>
          <w:tab w:val="num" w:pos="720"/>
        </w:tabs>
        <w:ind w:start="720" w:hanging="720"/>
      </w:pPr>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decimal"/>
      <w:lvlText w:val="%1."/>
      <w:lvlJc w:val="start"/>
      <w:pPr>
        <w:tabs>
          <w:tab w:val="num" w:pos="1080"/>
        </w:tabs>
        <w:ind w:start="1080" w:hanging="360"/>
      </w:pPr>
      <w:rPr>
        <w:i w:val="false"/>
        <w:b/>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5z0">
    <w:name w:val="WW8Num5z0"/>
    <w:qFormat/>
    <w:rPr>
      <w:b/>
      <w:i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Times New Roman" w:hAnsi="Galliard;Times New Roman" w:cs="Galliard;Times New Roman"/>
    </w:rPr>
  </w:style>
  <w:style w:type="paragraph" w:styleId="Center">
    <w:name w:val="Center"/>
    <w:basedOn w:val="Normal"/>
    <w:qFormat/>
    <w:pPr>
      <w:spacing w:lineRule="exact" w:line="260" w:before="260" w:after="0"/>
      <w:jc w:val="center"/>
    </w:pPr>
    <w:rPr>
      <w:rFonts w:ascii="Galliard;Times New Roman" w:hAnsi="Galliard;Times New Roman" w:cs="Galliard;Times New Roman"/>
    </w:rPr>
  </w:style>
  <w:style w:type="paragraph" w:styleId="FootnoteText">
    <w:name w:val="footnote text"/>
    <w:basedOn w:val="Normal"/>
    <w:pPr/>
    <w:rPr>
      <w:sz w:val="20"/>
    </w:rPr>
  </w:style>
  <w:style w:type="paragraph" w:styleId="BodyTextIndent">
    <w:name w:val="Body Text Indent"/>
    <w:basedOn w:val="Normal"/>
    <w:pPr>
      <w:ind w:firstLine="720" w:start="0" w:end="0"/>
    </w:pPr>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rPr>
  </w:style>
  <w:style w:type="paragraph" w:styleId="Bullet-Large">
    <w:name w:val="Bullet-Large"/>
    <w:basedOn w:val="Normal"/>
    <w:qFormat/>
    <w:pPr>
      <w:numPr>
        <w:ilvl w:val="0"/>
        <w:numId w:val="2"/>
      </w:numPr>
      <w:spacing w:lineRule="exact" w:line="260" w:before="260" w:after="0"/>
      <w:ind w:hanging="0" w:start="0" w:end="1080"/>
    </w:pPr>
    <w:rPr>
      <w:rFonts w:ascii="Galliard;Times New Roman" w:hAnsi="Galliard;Times New Roman" w:cs="Galliard;Times New Roman"/>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4320" w:end="0"/>
    </w:pPr>
    <w:rPr>
      <w:caps/>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2001-03-22T14:50:00Z</dcterms:created>
  <dc:creator>EPSA Staff</dc:creator>
  <dc:description/>
  <dc:language>en-CA</dc:language>
  <cp:lastModifiedBy>Jackie Gallagher</cp:lastModifiedBy>
  <cp:lastPrinted>2001-03-25T14:16:00Z</cp:lastPrinted>
  <dcterms:modified xsi:type="dcterms:W3CDTF">2001-03-26T14:00:00Z</dcterms:modified>
  <cp:revision>21</cp:revision>
  <dc:subject/>
  <dc:title>UNITED STATES OF AMERICA</dc:title>
</cp:coreProperties>
</file>