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1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UNITED STATES OF AMERICA</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BEFORE THE</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FEDERAL ENERGY REGULATORY COMMISSION</w:t>
      </w:r>
    </w:p>
    <w:p>
      <w:pPr>
        <w:pStyle w:val="Normal"/>
        <w:bidi w:val="0"/>
        <w:spacing w:lineRule="auto" w:line="240" w:before="0" w:after="0"/>
        <w:ind w:hanging="0" w:start="0" w:end="0"/>
        <w:jc w:val="both"/>
        <w:rPr>
          <w:rFonts w:ascii="Times New Roman" w:hAnsi="Times New Roman" w:eastAsia="Times New Roman" w:cs="Times New Roman"/>
          <w:color w:val="000000"/>
          <w:sz w:val="28"/>
          <w:szCs w:val="28"/>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w:t>
      </w:r>
    </w:p>
    <w:p>
      <w:pPr>
        <w:pStyle w:val="Normal"/>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Proposed Rulemaking on Electric</w:t>
        <w:tab/>
        <w:tab/>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Industry Structure, Incentives of Market</w:t>
        <w:tab/>
        <w:t>)</w:t>
        <w:tab/>
        <w:t>Docket Nos. RM95-8-000</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Participants and Improved</w:t>
        <w:tab/>
        <w:tab/>
        <w:tab/>
        <w:t>)</w:t>
        <w:tab/>
        <w:t xml:space="preserve">  &amp; RM98-5-000</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Open-Access Commercial Practices</w:t>
        <w:tab/>
        <w:tab/>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bidi w:val="0"/>
        <w:spacing w:lineRule="auto" w:line="240" w:before="0" w:after="0"/>
        <w:ind w:firstLine="8640" w:start="0" w:end="0"/>
        <w:jc w:val="both"/>
        <w:rPr>
          <w:rFonts w:ascii="Times New Roman" w:hAnsi="Times New Roman" w:eastAsia="Times New Roman" w:cs="Times New Roman"/>
          <w:b/>
          <w:bCs/>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PETITION</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FOR A RULEMAKING ON</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 xml:space="preserve">ELECTRIC POWER INDUSTRY STRUCTURE </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AND COMMERCIAL PRACTICES</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AND MOTION TO CLARIFY OR RECONSIDER CERTAIN</w:t>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OPEN-ACCESS COMMERCIAL PRACTICES</w:t>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30"/>
          <w:szCs w:val="30"/>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March 25, 1998</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u w:val="single"/>
        </w:rPr>
      </w:pPr>
      <w:r>
        <w:rPr>
          <w:rFonts w:eastAsia="Times New Roman" w:cs="Times New Roman" w:ascii="Times New Roman" w:hAnsi="Times New Roman"/>
          <w:b/>
          <w:bCs/>
          <w:color w:val="000000"/>
          <w:sz w:val="30"/>
          <w:szCs w:val="30"/>
          <w:u w:val="single"/>
        </w:rPr>
        <w:t>TABLE OF CONTENTS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EXECUTIVE SUMMARY</w:t>
        <w:tab/>
        <w:t>1</w:t>
      </w:r>
    </w:p>
    <w:p>
      <w:pPr>
        <w:pStyle w:val="Normal"/>
        <w:tabs>
          <w:tab w:val="left" w:pos="0" w:leader="none"/>
          <w:tab w:val="left" w:pos="720" w:leader="none"/>
          <w:tab w:val="right" w:pos="9360" w:leader="dot"/>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REMAINING OBSTACLES TO A COMPETITIVE POWER</w:t>
      </w:r>
    </w:p>
    <w:p>
      <w:pPr>
        <w:pStyle w:val="Normal"/>
        <w:tabs>
          <w:tab w:val="left" w:pos="0" w:leader="none"/>
          <w:tab w:val="left" w:pos="720" w:leader="none"/>
          <w:tab w:val="right" w:pos="9360" w:leader="dot"/>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INDUSTRY REQUIRE THE REQUESTED RULEMAKING</w:t>
        <w:tab/>
        <w:t>5</w:t>
      </w:r>
    </w:p>
    <w:p>
      <w:pPr>
        <w:pStyle w:val="Normal"/>
        <w:tabs>
          <w:tab w:val="left" w:pos="0" w:leader="none"/>
          <w:tab w:val="left" w:pos="720" w:leader="none"/>
          <w:tab w:val="right" w:pos="9360" w:leader="dot"/>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0" w:start="720" w:end="0"/>
        <w:jc w:val="start"/>
        <w:rPr/>
      </w:pPr>
      <w:r>
        <w:rPr>
          <w:rFonts w:eastAsia="Times New Roman" w:cs="Times New Roman" w:ascii="Times New Roman" w:hAnsi="Times New Roman"/>
          <w:i/>
          <w:iCs/>
          <w:color w:val="000000"/>
          <w:sz w:val="24"/>
          <w:szCs w:val="24"/>
        </w:rPr>
        <w:t>Competitive Gains in Wholesale and Retail Markets</w:t>
      </w:r>
      <w:r>
        <w:rPr>
          <w:rFonts w:eastAsia="Times New Roman" w:cs="Times New Roman" w:ascii="Times New Roman" w:hAnsi="Times New Roman"/>
          <w:color w:val="000000"/>
          <w:sz w:val="24"/>
          <w:szCs w:val="24"/>
        </w:rPr>
        <w:tab/>
        <w:t>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Limitations on Comparable Open Access Threaten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pPr>
      <w:r>
        <w:rPr>
          <w:rFonts w:eastAsia="Times New Roman" w:cs="Times New Roman" w:ascii="Times New Roman" w:hAnsi="Times New Roman"/>
          <w:i/>
          <w:iCs/>
          <w:color w:val="000000"/>
          <w:sz w:val="24"/>
          <w:szCs w:val="24"/>
        </w:rPr>
        <w:t>Deny Full Competition to Power Markets</w:t>
      </w:r>
      <w:r>
        <w:rPr>
          <w:rFonts w:eastAsia="Times New Roman" w:cs="Times New Roman" w:ascii="Times New Roman" w:hAnsi="Times New Roman"/>
          <w:color w:val="000000"/>
          <w:sz w:val="24"/>
          <w:szCs w:val="24"/>
        </w:rPr>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start"/>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A Bundled Industry that Divides Into Three Parts, Each Enjoying Different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pPr>
      <w:r>
        <w:rPr>
          <w:rFonts w:eastAsia="Times New Roman" w:cs="Times New Roman" w:ascii="Times New Roman" w:hAnsi="Times New Roman"/>
          <w:i/>
          <w:iCs/>
          <w:color w:val="000000"/>
          <w:sz w:val="24"/>
          <w:szCs w:val="24"/>
        </w:rPr>
        <w:t>and Unequal Access to the Grid</w:t>
      </w:r>
      <w:r>
        <w:rPr>
          <w:rFonts w:eastAsia="Times New Roman" w:cs="Times New Roman" w:ascii="Times New Roman" w:hAnsi="Times New Roman"/>
          <w:color w:val="000000"/>
          <w:sz w:val="24"/>
          <w:szCs w:val="24"/>
        </w:rPr>
        <w:tab/>
        <w:t>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start"/>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The Choice Is between Structural Reforms that Eliminate Incentives 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Discriminate and Enforcing a Growing Number of Behavioral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pPr>
      <w:r>
        <w:rPr>
          <w:rFonts w:eastAsia="Times New Roman" w:cs="Times New Roman" w:ascii="Times New Roman" w:hAnsi="Times New Roman"/>
          <w:i/>
          <w:iCs/>
          <w:color w:val="000000"/>
          <w:sz w:val="24"/>
          <w:szCs w:val="24"/>
        </w:rPr>
        <w:t>Rules to Police the Incentive to Discriminate</w:t>
      </w:r>
      <w:r>
        <w:rPr>
          <w:rFonts w:eastAsia="Times New Roman" w:cs="Times New Roman" w:ascii="Times New Roman" w:hAnsi="Times New Roman"/>
          <w:color w:val="000000"/>
          <w:sz w:val="24"/>
          <w:szCs w:val="24"/>
        </w:rPr>
        <w:tab/>
        <w:t>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start"/>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Unilateral Rules Affecting Transmission Access Are Undermining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start"/>
        <w:rPr/>
      </w:pPr>
      <w:r>
        <w:rPr>
          <w:rFonts w:eastAsia="Times New Roman" w:cs="Times New Roman" w:ascii="Times New Roman" w:hAnsi="Times New Roman"/>
          <w:i/>
          <w:iCs/>
          <w:color w:val="000000"/>
          <w:sz w:val="24"/>
          <w:szCs w:val="24"/>
        </w:rPr>
        <w:t>Nondiscriminatory Open Access</w:t>
      </w:r>
      <w:r>
        <w:rPr>
          <w:rFonts w:eastAsia="Times New Roman" w:cs="Times New Roman" w:ascii="Times New Roman" w:hAnsi="Times New Roman"/>
          <w:color w:val="000000"/>
          <w:sz w:val="24"/>
          <w:szCs w:val="24"/>
        </w:rPr>
        <w:tab/>
        <w:t>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FACTUAL BASIS FOR RULEMAKING</w:t>
        <w:tab/>
        <w:t>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LEGAL BASIS FOR RULEMAKING</w:t>
        <w:tab/>
        <w:t>16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PROPOSED RULEMAKING </w:t>
        <w:tab/>
        <w:t>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EXPERIENCE IN RESTRUCTURING THE NATURAL GAS</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INDUSTRY DEMONSTRATES THAT DEFERRING COMPLETE</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UNBUNDLING PERPETUATES DISCRIMINATION</w:t>
        <w:tab/>
        <w:t>17</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A.</w:t>
        <w:tab/>
        <w:t>Unbundling to Eradicate Undue Discrimination Is Needed</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More Acutely in the Electric Power Industry Today than It Was </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the Less Integrated Natural Gas Industry before</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Order No. 636</w:t>
      </w:r>
      <w:r>
        <w:rPr>
          <w:rFonts w:eastAsia="Times New Roman" w:cs="Times New Roman" w:ascii="Times New Roman" w:hAnsi="Times New Roman"/>
          <w:color w:val="000000"/>
          <w:sz w:val="24"/>
          <w:szCs w:val="24"/>
        </w:rPr>
        <w:tab/>
        <w:t>17</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B.</w:t>
        <w:tab/>
        <w:t>The Same Authority that the Commission Wielded under the Natural</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Gas Act to Extend Nondiscriminatory Open Access to</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Fully Unbundled Transportation Service Is Equally</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 xml:space="preserve">Available under the Federal Power Act </w:t>
      </w:r>
      <w:r>
        <w:rPr>
          <w:rFonts w:eastAsia="Times New Roman" w:cs="Times New Roman" w:ascii="Times New Roman" w:hAnsi="Times New Roman"/>
          <w:color w:val="000000"/>
          <w:sz w:val="24"/>
          <w:szCs w:val="24"/>
        </w:rPr>
        <w:tab/>
        <w:t>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TWO SEPARATE REGULATORY REGIMES FOR INTERSTATE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 INVITE DISCRIMINATION AND AN UNLAWFUL</w:t>
      </w:r>
    </w:p>
    <w:p>
      <w:pPr>
        <w:pStyle w:val="Normal"/>
        <w:tabs>
          <w:tab w:val="clear" w:pos="720"/>
          <w:tab w:val="left" w:pos="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DELEGATION OF COMMISSION JURISDICTION</w:t>
        <w:tab/>
        <w:t>21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A.</w:t>
        <w:tab/>
        <w:t>Permitting Bundled Transmission to Escape Non-discriminatory</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Open-Access Is an Unwise and Unlawful Delegation</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of Commission Jurisdiction</w:t>
      </w:r>
      <w:r>
        <w:rPr>
          <w:rFonts w:eastAsia="Times New Roman" w:cs="Times New Roman" w:ascii="Times New Roman" w:hAnsi="Times New Roman"/>
          <w:color w:val="000000"/>
          <w:sz w:val="24"/>
          <w:szCs w:val="24"/>
        </w:rPr>
        <w:tab/>
        <w:t>21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B.</w:t>
        <w:tab/>
        <w:t>Extending Nondiscriminatory Open-Access to all Transmission</w:t>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ab/>
        <w:t>Is Consistent with Decisional Precedents and the</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Operational Reality of the Grid</w:t>
      </w:r>
      <w:r>
        <w:rPr>
          <w:rFonts w:eastAsia="Times New Roman" w:cs="Times New Roman" w:ascii="Times New Roman" w:hAnsi="Times New Roman"/>
          <w:color w:val="000000"/>
          <w:sz w:val="24"/>
          <w:szCs w:val="24"/>
        </w:rPr>
        <w:tab/>
        <w:t>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C.</w:t>
        <w:tab/>
        <w:t>The Commission Must End the Ability of Vertically Integrated</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Utilities to Use Native Load Privileges to Block Competitors</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Access to the Most Valuable Segment of the Transmission Grid</w:t>
      </w:r>
      <w:r>
        <w:rPr>
          <w:rFonts w:eastAsia="Times New Roman" w:cs="Times New Roman" w:ascii="Times New Roman" w:hAnsi="Times New Roman"/>
          <w:color w:val="000000"/>
          <w:sz w:val="24"/>
          <w:szCs w:val="24"/>
        </w:rPr>
        <w:tab/>
        <w:t>25</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D.</w:t>
        <w:tab/>
        <w:t>The Current Rule Permits (and May Invite) Regulatory Forum</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Shopping</w:t>
      </w:r>
      <w:r>
        <w:rPr>
          <w:rFonts w:eastAsia="Times New Roman" w:cs="Times New Roman" w:ascii="Times New Roman" w:hAnsi="Times New Roman"/>
          <w:color w:val="000000"/>
          <w:sz w:val="24"/>
          <w:szCs w:val="24"/>
        </w:rPr>
        <w:tab/>
        <w:t>27</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ALL TRANSMISSION SHOULD BE OFFERED PURSUANT</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THE SAME TARIFFS, RULES, AND INFORMATION SYSTEMS</w:t>
        <w:tab/>
        <w:t>28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A.</w:t>
        <w:tab/>
        <w:t>The Commission Should Consolidate Point-to-Point and</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Network Service into a Single, Uniform Transmission Offering</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Based on Tradable Reservations</w:t>
      </w:r>
      <w:r>
        <w:rPr>
          <w:rFonts w:eastAsia="Times New Roman" w:cs="Times New Roman" w:ascii="Times New Roman" w:hAnsi="Times New Roman"/>
          <w:color w:val="000000"/>
          <w:sz w:val="24"/>
          <w:szCs w:val="24"/>
        </w:rPr>
        <w:tab/>
        <w:t>29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B.</w:t>
        <w:tab/>
        <w:t>OASIS Must Become the Common Vehicle for Obtaining</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Information on, and Determining, Disseminating</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and Reserving ATC</w:t>
      </w:r>
      <w:r>
        <w:rPr>
          <w:rFonts w:eastAsia="Times New Roman" w:cs="Times New Roman" w:ascii="Times New Roman" w:hAnsi="Times New Roman"/>
          <w:color w:val="000000"/>
          <w:sz w:val="24"/>
          <w:szCs w:val="24"/>
        </w:rPr>
        <w:tab/>
        <w:t>34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C.</w:t>
        <w:tab/>
        <w:t>System Operators Must Be Directed to Improve How They</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Determine Available Firm Capacity and Stop Relying on</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Curtailments to Manage Line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Loading</w:t>
      </w:r>
      <w:r>
        <w:rPr>
          <w:rFonts w:eastAsia="Times New Roman" w:cs="Times New Roman" w:ascii="Times New Roman" w:hAnsi="Times New Roman"/>
          <w:color w:val="000000"/>
          <w:sz w:val="24"/>
          <w:szCs w:val="24"/>
        </w:rPr>
        <w:tab/>
        <w:t>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1440" w:leader="none"/>
          <w:tab w:val="right" w:pos="9360" w:leader="dot"/>
        </w:tabs>
        <w:bidi w:val="0"/>
        <w:spacing w:lineRule="auto" w:line="240" w:before="0" w:after="0"/>
        <w:ind w:hanging="720" w:start="1440" w:end="0"/>
        <w:jc w:val="both"/>
        <w:rPr/>
      </w:pPr>
      <w:r>
        <w:rPr>
          <w:rFonts w:eastAsia="Times New Roman" w:cs="Times New Roman" w:ascii="Times New Roman" w:hAnsi="Times New Roman"/>
          <w:i/>
          <w:iCs/>
          <w:color w:val="000000"/>
          <w:sz w:val="24"/>
          <w:szCs w:val="24"/>
        </w:rPr>
        <w:t>D.</w:t>
        <w:tab/>
        <w:t>Hourly Firm Service Can and Should Be Made Mandatory</w:t>
      </w:r>
      <w:r>
        <w:rPr>
          <w:rFonts w:eastAsia="Times New Roman" w:cs="Times New Roman" w:ascii="Times New Roman" w:hAnsi="Times New Roman"/>
          <w:color w:val="000000"/>
          <w:sz w:val="24"/>
          <w:szCs w:val="24"/>
        </w:rPr>
        <w:tab/>
        <w:t>41</w:t>
      </w:r>
    </w:p>
    <w:p>
      <w:pPr>
        <w:pStyle w:val="Normal"/>
        <w:tabs>
          <w:tab w:val="left" w:pos="0" w:leader="none"/>
          <w:tab w:val="left" w:pos="720" w:leader="none"/>
          <w:tab w:val="left" w:pos="1440" w:leader="none"/>
          <w:tab w:val="right" w:pos="9360" w:leader="dot"/>
        </w:tabs>
        <w:bidi w:val="0"/>
        <w:spacing w:lineRule="auto" w:line="240" w:before="0" w:after="0"/>
        <w:ind w:firstLine="72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firstLine="72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E.</w:t>
        <w:tab/>
        <w:t>All Transmission Customers Should Enjoy the Same Reservation and</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Scheduling Flexibility that Vertically Integrated Utilities</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Enjoy</w:t>
      </w:r>
      <w:r>
        <w:rPr>
          <w:rFonts w:eastAsia="Times New Roman" w:cs="Times New Roman" w:ascii="Times New Roman" w:hAnsi="Times New Roman"/>
          <w:color w:val="000000"/>
          <w:sz w:val="24"/>
          <w:szCs w:val="24"/>
        </w:rPr>
        <w:tab/>
        <w:t>43</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center"/>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ii</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1.     Comparability requires that all transmission customers be able</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to pool external generating resources for deliveries into the</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transmission provider’s system</w:t>
      </w:r>
      <w:r>
        <w:rPr>
          <w:rFonts w:eastAsia="Times New Roman" w:cs="Times New Roman" w:ascii="Times New Roman" w:hAnsi="Times New Roman"/>
          <w:color w:val="000000"/>
          <w:sz w:val="24"/>
          <w:szCs w:val="24"/>
        </w:rPr>
        <w:tab/>
        <w:t>43</w:t>
      </w:r>
    </w:p>
    <w:p>
      <w:pPr>
        <w:pStyle w:val="Normal"/>
        <w:tabs>
          <w:tab w:val="left" w:pos="0" w:leader="none"/>
          <w:tab w:val="left" w:pos="720" w:leader="none"/>
          <w:tab w:val="left" w:pos="144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2.     All transmission customers should enjoy equally the ability to</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batch multiple transactions</w:t>
      </w:r>
      <w:r>
        <w:rPr>
          <w:rFonts w:eastAsia="Times New Roman" w:cs="Times New Roman" w:ascii="Times New Roman" w:hAnsi="Times New Roman"/>
          <w:color w:val="000000"/>
          <w:sz w:val="24"/>
          <w:szCs w:val="24"/>
        </w:rPr>
        <w:tab/>
        <w:t>4</w:t>
      </w:r>
      <w:r>
        <w:rPr>
          <w:rFonts w:eastAsia="Times New Roman" w:cs="Times New Roman" w:ascii="Times New Roman" w:hAnsi="Times New Roman"/>
          <w:color w:val="000000"/>
          <w:sz w:val="24"/>
          <w:szCs w:val="24"/>
        </w:rPr>
        <w:t>5</w:t>
      </w:r>
    </w:p>
    <w:p>
      <w:pPr>
        <w:pStyle w:val="Normal"/>
        <w:tabs>
          <w:tab w:val="left" w:pos="0" w:leader="none"/>
          <w:tab w:val="left" w:pos="720" w:leader="none"/>
          <w:tab w:val="left" w:pos="1440" w:leader="none"/>
          <w:tab w:val="right" w:pos="9360" w:leader="dot"/>
        </w:tabs>
        <w:bidi w:val="0"/>
        <w:spacing w:lineRule="auto" w:line="240" w:before="0" w:after="0"/>
        <w:ind w:firstLine="1440" w:start="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CONSOLIDATION OF THE BALKANIZED GRID IS NEEDED</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ROOT OUT PERSISTENT DISCRIMINATION</w:t>
        <w:tab/>
        <w:t>46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THE COMMISSION MUST ADDRESS THE REMAINING</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IMPEDIMENTS TO ACHIEVING A COMMERCIAL ELECTRICITY</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MARKET IN A FURTHER RULEMAKING AND NOT</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ABDICATE ITS RESPONSIBILITY TO PRIVATE  INTERESTS</w:t>
        <w:tab/>
        <w:t xml:space="preserve"> 49</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right" w:pos="9360" w:leader="dot"/>
        </w:tabs>
        <w:bidi w:val="0"/>
        <w:spacing w:lineRule="auto" w:line="240" w:before="0" w:after="0"/>
        <w:ind w:hanging="720" w:start="720" w:end="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w:t>
        <w:tab/>
        <w:t>THE COMMISSION CAN TAKE IMMEDIATE STEPS TO</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PROMOTE MORE EFFECTIVE COMPETITION BY CLARIFYING</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 RECONSIDERING SPECIFIC ELEMENTS OF</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EXISTING RULES OF OPEN ACCESS</w:t>
        <w:tab/>
        <w:t xml:space="preserve"> 53</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A.     Ensuring Accurate, Timely and Complete Reporting</w:t>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of ATC and TTC</w:t>
        <w:tab/>
      </w:r>
      <w:r>
        <w:rPr>
          <w:rFonts w:eastAsia="Times New Roman" w:cs="Times New Roman" w:ascii="Times New Roman" w:hAnsi="Times New Roman"/>
          <w:color w:val="000000"/>
          <w:sz w:val="24"/>
          <w:szCs w:val="24"/>
        </w:rPr>
        <w:t>54</w:t>
      </w:r>
      <w:r>
        <w:rPr>
          <w:rFonts w:eastAsia="Times New Roman" w:cs="Times New Roman" w:ascii="Times New Roman" w:hAnsi="Times New Roman"/>
          <w:i/>
          <w:iCs/>
          <w:color w:val="000000"/>
          <w:sz w:val="24"/>
          <w:szCs w:val="24"/>
        </w:rPr>
        <w:tab/>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1.     Independent oversight</w:t>
      </w:r>
      <w:r>
        <w:rPr>
          <w:rFonts w:eastAsia="Times New Roman" w:cs="Times New Roman" w:ascii="Times New Roman" w:hAnsi="Times New Roman"/>
          <w:color w:val="000000"/>
          <w:sz w:val="24"/>
          <w:szCs w:val="24"/>
        </w:rPr>
        <w:tab/>
        <w:t>54</w:t>
        <w:tab/>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2.     Timely reporting of insufficient ATC for nonfirm service</w:t>
      </w:r>
      <w:r>
        <w:rPr>
          <w:rFonts w:eastAsia="Times New Roman" w:cs="Times New Roman" w:ascii="Times New Roman" w:hAnsi="Times New Roman"/>
          <w:color w:val="000000"/>
          <w:sz w:val="24"/>
          <w:szCs w:val="24"/>
        </w:rPr>
        <w:tab/>
        <w:t>55</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3.     Cost and timing of system impact studies</w:t>
      </w:r>
      <w:r>
        <w:rPr>
          <w:rFonts w:eastAsia="Times New Roman" w:cs="Times New Roman" w:ascii="Times New Roman" w:hAnsi="Times New Roman"/>
          <w:color w:val="000000"/>
          <w:sz w:val="24"/>
          <w:szCs w:val="24"/>
        </w:rPr>
        <w:tab/>
        <w:t>55</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4.     Presumptive standards</w:t>
      </w:r>
      <w:r>
        <w:rPr>
          <w:rFonts w:eastAsia="Times New Roman" w:cs="Times New Roman" w:ascii="Times New Roman" w:hAnsi="Times New Roman"/>
          <w:color w:val="000000"/>
          <w:sz w:val="24"/>
          <w:szCs w:val="24"/>
        </w:rPr>
        <w:tab/>
        <w:t>56</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5.     Post all transmission on OASIS</w:t>
      </w:r>
      <w:r>
        <w:rPr>
          <w:rFonts w:eastAsia="Times New Roman" w:cs="Times New Roman" w:ascii="Times New Roman" w:hAnsi="Times New Roman"/>
          <w:color w:val="000000"/>
          <w:sz w:val="24"/>
          <w:szCs w:val="24"/>
        </w:rPr>
        <w:tab/>
        <w:t>56</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6.     Investigations and enforcement</w:t>
      </w:r>
      <w:r>
        <w:rPr>
          <w:rFonts w:eastAsia="Times New Roman" w:cs="Times New Roman" w:ascii="Times New Roman" w:hAnsi="Times New Roman"/>
          <w:color w:val="000000"/>
          <w:sz w:val="24"/>
          <w:szCs w:val="24"/>
        </w:rPr>
        <w:tab/>
        <w:t>57</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7.     Effective sanctions</w:t>
      </w:r>
      <w:r>
        <w:rPr>
          <w:rFonts w:eastAsia="Times New Roman" w:cs="Times New Roman" w:ascii="Times New Roman" w:hAnsi="Times New Roman"/>
          <w:color w:val="000000"/>
          <w:sz w:val="24"/>
          <w:szCs w:val="24"/>
        </w:rPr>
        <w:tab/>
        <w:t>57</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B.     Plain Public Rules on Reservation, Scheduling,</w:t>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Tagging and Curtailment Schemes</w:t>
        <w:tab/>
      </w:r>
      <w:r>
        <w:rPr>
          <w:rFonts w:eastAsia="Times New Roman" w:cs="Times New Roman" w:ascii="Times New Roman" w:hAnsi="Times New Roman"/>
          <w:color w:val="000000"/>
          <w:sz w:val="24"/>
          <w:szCs w:val="24"/>
        </w:rPr>
        <w:t>58</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C.     Improving Liquidity and Reducing Transaction Costs</w:t>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of Firm and Nonfirm Point-to-Point Rights</w:t>
        <w:tab/>
      </w:r>
      <w:r>
        <w:rPr>
          <w:rFonts w:eastAsia="Times New Roman" w:cs="Times New Roman" w:ascii="Times New Roman" w:hAnsi="Times New Roman"/>
          <w:color w:val="000000"/>
          <w:sz w:val="24"/>
          <w:szCs w:val="24"/>
        </w:rPr>
        <w:t>60</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hanging="0" w:start="0" w:end="0"/>
        <w:jc w:val="center"/>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iii</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1.     Firm point-to-point</w:t>
      </w:r>
      <w:r>
        <w:rPr>
          <w:rFonts w:eastAsia="Times New Roman" w:cs="Times New Roman" w:ascii="Times New Roman" w:hAnsi="Times New Roman"/>
          <w:color w:val="000000"/>
          <w:sz w:val="24"/>
          <w:szCs w:val="24"/>
        </w:rPr>
        <w:tab/>
        <w:t>61</w:t>
      </w:r>
    </w:p>
    <w:p>
      <w:pPr>
        <w:pStyle w:val="Normal"/>
        <w:tabs>
          <w:tab w:val="left" w:pos="0" w:leader="none"/>
          <w:tab w:val="left" w:pos="720" w:leader="none"/>
          <w:tab w:val="right" w:pos="9360" w:leader="dot"/>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2.     Scheduling deadlines</w:t>
      </w:r>
      <w:r>
        <w:rPr>
          <w:rFonts w:eastAsia="Times New Roman" w:cs="Times New Roman" w:ascii="Times New Roman" w:hAnsi="Times New Roman"/>
          <w:color w:val="000000"/>
          <w:sz w:val="24"/>
          <w:szCs w:val="24"/>
        </w:rPr>
        <w:tab/>
        <w:t>61</w:t>
      </w:r>
    </w:p>
    <w:p>
      <w:pPr>
        <w:pStyle w:val="Normal"/>
        <w:tabs>
          <w:tab w:val="left" w:pos="0" w:leader="none"/>
          <w:tab w:val="left" w:pos="720" w:leader="none"/>
          <w:tab w:val="right" w:pos="9360" w:leader="dot"/>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3.     Secondary interfaces</w:t>
      </w:r>
      <w:r>
        <w:rPr>
          <w:rFonts w:eastAsia="Times New Roman" w:cs="Times New Roman" w:ascii="Times New Roman" w:hAnsi="Times New Roman"/>
          <w:color w:val="000000"/>
          <w:sz w:val="24"/>
          <w:szCs w:val="24"/>
        </w:rPr>
        <w:tab/>
        <w:t>62</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4.     Nonfirm service should be offered on a commodity-only basis</w:t>
      </w:r>
      <w:r>
        <w:rPr>
          <w:rFonts w:eastAsia="Times New Roman" w:cs="Times New Roman" w:ascii="Times New Roman" w:hAnsi="Times New Roman"/>
          <w:color w:val="000000"/>
          <w:sz w:val="24"/>
          <w:szCs w:val="24"/>
        </w:rPr>
        <w:tab/>
        <w:t>63</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r>
      <w:r>
        <w:rPr>
          <w:rFonts w:eastAsia="Times New Roman" w:cs="Times New Roman" w:ascii="Times New Roman" w:hAnsi="Times New Roman"/>
          <w:i/>
          <w:iCs/>
          <w:color w:val="000000"/>
          <w:sz w:val="24"/>
          <w:szCs w:val="24"/>
        </w:rPr>
        <w:t xml:space="preserve">     Bidding for and controlling nonfirm rights</w:t>
      </w:r>
      <w:r>
        <w:rPr>
          <w:rFonts w:eastAsia="Times New Roman" w:cs="Times New Roman" w:ascii="Times New Roman" w:hAnsi="Times New Roman"/>
          <w:color w:val="000000"/>
          <w:sz w:val="24"/>
          <w:szCs w:val="24"/>
        </w:rPr>
        <w:tab/>
        <w:t>64</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w:t>
      </w:r>
      <w:r>
        <w:rPr>
          <w:rFonts w:eastAsia="Times New Roman" w:cs="Times New Roman" w:ascii="Times New Roman" w:hAnsi="Times New Roman"/>
          <w:i/>
          <w:iCs/>
          <w:color w:val="000000"/>
          <w:sz w:val="24"/>
          <w:szCs w:val="24"/>
        </w:rPr>
        <w:t xml:space="preserve">     Clarify rules of secondary market</w:t>
      </w:r>
      <w:r>
        <w:rPr>
          <w:rFonts w:eastAsia="Times New Roman" w:cs="Times New Roman" w:ascii="Times New Roman" w:hAnsi="Times New Roman"/>
          <w:color w:val="000000"/>
          <w:sz w:val="24"/>
          <w:szCs w:val="24"/>
        </w:rPr>
        <w:tab/>
        <w:t>65</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7.</w:t>
      </w:r>
      <w:r>
        <w:rPr>
          <w:rFonts w:eastAsia="Times New Roman" w:cs="Times New Roman" w:ascii="Times New Roman" w:hAnsi="Times New Roman"/>
          <w:i/>
          <w:iCs/>
          <w:color w:val="000000"/>
          <w:sz w:val="24"/>
          <w:szCs w:val="24"/>
        </w:rPr>
        <w:t xml:space="preserve">     Changing receipt and delivery points and source and sink</w:t>
      </w:r>
      <w:r>
        <w:rPr>
          <w:rFonts w:eastAsia="Times New Roman" w:cs="Times New Roman" w:ascii="Times New Roman" w:hAnsi="Times New Roman"/>
          <w:color w:val="000000"/>
          <w:sz w:val="24"/>
          <w:szCs w:val="24"/>
        </w:rPr>
        <w:tab/>
        <w:t>65</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8.</w:t>
      </w:r>
      <w:r>
        <w:rPr>
          <w:rFonts w:eastAsia="Times New Roman" w:cs="Times New Roman" w:ascii="Times New Roman" w:hAnsi="Times New Roman"/>
          <w:i/>
          <w:iCs/>
          <w:color w:val="000000"/>
          <w:sz w:val="24"/>
          <w:szCs w:val="24"/>
        </w:rPr>
        <w:t xml:space="preserve">     Eliminate transaction-specific deposits</w:t>
      </w:r>
      <w:r>
        <w:rPr>
          <w:rFonts w:eastAsia="Times New Roman" w:cs="Times New Roman" w:ascii="Times New Roman" w:hAnsi="Times New Roman"/>
          <w:color w:val="000000"/>
          <w:sz w:val="24"/>
          <w:szCs w:val="24"/>
        </w:rPr>
        <w:tab/>
        <w:t>66</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9</w:t>
      </w:r>
      <w:r>
        <w:rPr>
          <w:rFonts w:eastAsia="Times New Roman" w:cs="Times New Roman" w:ascii="Times New Roman" w:hAnsi="Times New Roman"/>
          <w:i/>
          <w:iCs/>
          <w:color w:val="000000"/>
          <w:sz w:val="24"/>
          <w:szCs w:val="24"/>
        </w:rPr>
        <w:t>.     Time-stamping</w:t>
      </w:r>
      <w:r>
        <w:rPr>
          <w:rFonts w:eastAsia="Times New Roman" w:cs="Times New Roman" w:ascii="Times New Roman" w:hAnsi="Times New Roman"/>
          <w:color w:val="000000"/>
          <w:sz w:val="24"/>
          <w:szCs w:val="24"/>
        </w:rPr>
        <w:tab/>
        <w:t>66</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10</w:t>
      </w:r>
      <w:r>
        <w:rPr>
          <w:rFonts w:eastAsia="Times New Roman" w:cs="Times New Roman" w:ascii="Times New Roman" w:hAnsi="Times New Roman"/>
          <w:i/>
          <w:iCs/>
          <w:color w:val="000000"/>
          <w:sz w:val="24"/>
          <w:szCs w:val="24"/>
        </w:rPr>
        <w:t>.     Standardized calculation of real power losses</w:t>
      </w:r>
      <w:r>
        <w:rPr>
          <w:rFonts w:eastAsia="Times New Roman" w:cs="Times New Roman" w:ascii="Times New Roman" w:hAnsi="Times New Roman"/>
          <w:color w:val="000000"/>
          <w:sz w:val="24"/>
          <w:szCs w:val="24"/>
        </w:rPr>
        <w:tab/>
        <w:t>66</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CONCLUSION</w:t>
        <w:tab/>
        <w:t xml:space="preserve"> 67</w:t>
      </w:r>
    </w:p>
    <w:p>
      <w:pPr>
        <w:pStyle w:val="Normal"/>
        <w:tabs>
          <w:tab w:val="left" w:pos="0" w:leader="none"/>
          <w:tab w:val="left" w:pos="720" w:leader="none"/>
          <w:tab w:val="right" w:pos="9360" w:leader="dot"/>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A</w:t>
        <w:tab/>
        <w:t>AFFILIATED ORGANIZATIONS &amp;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B</w:t>
        <w:tab/>
        <w:t>NARRATIVE DESCRIPTION OF THE DAY-TO-DAY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OPERATION OF THE US WHOLESALE ELECTRIC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C</w:t>
        <w:tab/>
        <w:t>INTERIM REPORT OF THE SECRETARY OF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D</w:t>
        <w:tab/>
        <w:t>EXAMPLES OF COMMON ONGOING FORMS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TRANSMISSION PROVIDER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E</w:t>
        <w:tab/>
        <w:t>INFORMATION FROM FEDERAL POWER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F</w:t>
        <w:tab/>
        <w:tab/>
        <w:t>SUMMARY OF INDICATED PARTIES’ REQUESTED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ab/>
        <w:tab/>
        <w:t xml:space="preserve">   CLARIFICATIONS AND RECONSIDERATION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type w:val="nextPage"/>
          <w:pgSz w:w="12240" w:h="15840"/>
          <w:pgMar w:left="1440" w:right="1440" w:gutter="0" w:header="0" w:top="1440" w:footer="0" w:bottom="1440"/>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iv</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Proposed Rulemaking on Electric</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Industry Structure, Incentives of Market</w:t>
        <w:tab/>
        <w:t>)</w:t>
        <w:tab/>
        <w:t xml:space="preserve">Docket No. RM95-8-000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Participants and Improvement of</w:t>
        <w:tab/>
        <w:tab/>
        <w:t>)</w:t>
        <w:tab/>
        <w:t xml:space="preserve">   &amp; RM98-__-000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Open-Access Commercial Practices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PETITION FOR A RULEMAKING 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 xml:space="preserve">ELECTRIC POWER INDUSTRY STRUCTURE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AND COMMERCIAL PRACTICES AND MOTION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TO CLARIFY OR RECONSIDER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 xml:space="preserve">CERTAIN OPEN-ACCESS COMMERCIAL PRACTICES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Pursuant to section 553 of the Administrative Procedure Act, 5 U.S.C. § 553 (1988), section 309 of the Federal Power Act (“FPA”), 16 U.S.C. § 825h (1988), and Commission Rules 2.1 (a) and 207 and 213, 18 C.F.R. §§ 2.1(a), 385.207, 385.212 (1997), the indicated power industry stakeholders (“Petitioners”)</w:t>
      </w:r>
      <w:r>
        <w:rPr>
          <w:rStyle w:val="FootnoteReference"/>
        </w:rPr>
        <w:footnoteReference w:id="2"/>
      </w:r>
      <w:r>
        <w:rPr>
          <w:rFonts w:eastAsia="Times New Roman" w:cs="Times New Roman" w:ascii="Times New Roman" w:hAnsi="Times New Roman"/>
          <w:color w:val="000000"/>
          <w:sz w:val="24"/>
          <w:szCs w:val="24"/>
        </w:rPr>
        <w:t xml:space="preserve"> hereby petition the Commission to initiate a rulemaking to complete the orderly transition of today’s power industry to a fully competitive one in which transmission system operators have an incentive to make their services equally available to all users and to maximize the reliable and efficient use of the grid.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EXECUTIVE SUMMARY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orderly transition to a fully competitive market that the Commission began so promisingly with Orders No. 888 and No. 889 has now stalled and is being rolled back by discriminatory conduct encouraged by the existing market structure.  To date, the Commission has relied on behavioral rules and the Open-Access Same-Time Information System ("OASIS") to prevent discrimination and the abuse of market power from undermining the transition.  This has not worked.  Discrimination by transmission owners and system operators is rampant and OASIS is unreliable.  Barring an enormous expansion of the Commission’s monitoring and enforcement capabilities, behavioral rules and OASIS are unlikely to be more effective in the future because of the powerful incentive that transmission system owners have under the current regime to maximize their own and  their affiliates’ profitability and their freedom from reliance on OASIS for the vast majority of their uses of the grid.  That incentive is magnified by the ability of traditional utilities to conceal discrimination under the cloak of service to native load or network service and the lack of anything more than a remote risk that subtle forms of discrimination will be detected and prosecuted.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this petition, we ask the Commission to go beyond behavioral rules and eliminate the incentive to discriminate.  We ask the Commission to achieve this salutary result by breaking the bond between a transmission owner’s discrimination and the relative profitability of its own and affiliated merchant functions, and by eliminating the artificial divisions within power markets that make it easy to conceal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Just as the Commission discovered in the gas industry, the way to eliminate the incentive of a regulated transportation monopolist to discriminate in favor of its own and affiliated merchant operations is to divorce the two and make the merchant operation seek and obtain transportation pursuant to the identical rules -- open-access tariff and OASIS -- that govern all other shippers.  The Commission took this step in the natural gas pipeline industry in its Order No. 636.  </w:t>
      </w:r>
      <w:r>
        <w:rPr>
          <w:rFonts w:eastAsia="Times New Roman" w:cs="Times New Roman" w:ascii="Times New Roman" w:hAnsi="Times New Roman"/>
          <w:i/>
          <w:iCs/>
          <w:color w:val="000000"/>
          <w:sz w:val="24"/>
          <w:szCs w:val="24"/>
        </w:rPr>
        <w:t>See generally Pipeline Service Obligations and Revisions to Regulations Governing Self-Implementing Transportation; and Regulation of Natural Gas Pipelines after Wellhead Decontrol</w:t>
      </w:r>
      <w:r>
        <w:rPr>
          <w:rFonts w:eastAsia="Times New Roman" w:cs="Times New Roman" w:ascii="Times New Roman" w:hAnsi="Times New Roman"/>
          <w:color w:val="000000"/>
          <w:sz w:val="24"/>
          <w:szCs w:val="24"/>
        </w:rPr>
        <w:t xml:space="preserve">, Order No. 636, [1991-96 Regs. Preambles]  F.E.R.C. Stats. &amp; Regs. ¶ 30,939 [hereinafter cited as  </w:t>
      </w:r>
      <w:r>
        <w:rPr>
          <w:rFonts w:eastAsia="Times New Roman" w:cs="Times New Roman" w:ascii="Times New Roman" w:hAnsi="Times New Roman"/>
          <w:i/>
          <w:iCs/>
          <w:color w:val="000000"/>
          <w:sz w:val="24"/>
          <w:szCs w:val="24"/>
        </w:rPr>
        <w:t>Order No. 636</w:t>
      </w:r>
      <w:r>
        <w:rPr>
          <w:rFonts w:eastAsia="Times New Roman" w:cs="Times New Roman" w:ascii="Times New Roman" w:hAnsi="Times New Roman"/>
          <w:color w:val="000000"/>
          <w:sz w:val="24"/>
          <w:szCs w:val="24"/>
        </w:rPr>
        <w:t>].  The continued absence of an Order No. 636 equivalent in the electric power industry is crippling the transition to competition because the greater vertical integration of the electric power industry makes the incentive and opportunity to discriminate magnitudes greater than it ever was in the less integrated world of pre-Order No. 636 natural gas pipelines.  Placing all transmission users on the same tariff and making them all equally dependent on OASIS will also dramatically reduce the ability of transmission owners and system operators to conceal discrimination that favors them and their affiliates and disadvantages competitors.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eradicate fully the incentive to discriminate as well as the ability to conceal discrimination, we ask the Commission to take two additional steps in the requested rulemaking.  First, free the transmission market of the split personality that invites discrimination; do so by eliminating load-based network integration service and consolidating all uses of the transmission grid in a single uniform offering of capacity on the basis of commercially tradable reservations.  Second, exercise authority to encourage the interconnection and coordination of the nation’s Balkanized transmission systems and control areas into regional grids under the control of independent regional operators, properly structured and possessing incentives to maximize throughput.</w:t>
      </w:r>
    </w:p>
    <w:p>
      <w:pPr>
        <w:sectPr>
          <w:footnotePr>
            <w:numFmt w:val="decimal"/>
          </w:footnotePr>
          <w:type w:val="nextPage"/>
          <w:pgSz w:w="12240" w:h="15840"/>
          <w:pgMar w:left="1440" w:right="1440" w:gutter="0" w:header="0" w:top="1440" w:footer="0" w:bottom="1440"/>
          <w:pgNumType w:start="1"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Finally, pending the implementation of these structural reforms to eliminate discrimination, we are asking the Commission to undertake immediately certain clarifications and revisions to the interpretation and implementation of Order No. 888 and Order No. 889 and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nondiscriminatory open-access transmission tariff that will provide near-term relief from rampant discrimination.  These include steps to improve the timeliness and quality of reported available transmission capability (“ATC”) information, a directive that extra-tariff terms and conditions affecting transmission access not be enforced, and discrete tariff clarifications or revisions intended to improve liquidity and reduce transaction costs in transmission and power markets.</w:t>
      </w:r>
      <w:r>
        <w:rPr>
          <w:rStyle w:val="FootnoteReference"/>
        </w:rPr>
        <w:footnoteReference w:id="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To summarize, in this petition we ask the Commission to issue a rule that would: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Unbundle all Commission jurisdictional transmission services (including those provided to captive customers) completely from the wholesale and retail merchant functions of market participants so that retail service providers are required to purchase and schedule transmission services under the same open-access tariff as are all other users;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1440"/>
        <w:jc w:val="both"/>
        <w:rPr/>
      </w:pPr>
      <w:r>
        <w:rPr>
          <w:rFonts w:eastAsia="Times New Roman" w:cs="Times New Roman" w:ascii="Times New Roman" w:hAnsi="Times New Roman"/>
          <w:color w:val="000000"/>
          <w:sz w:val="24"/>
          <w:szCs w:val="24"/>
        </w:rPr>
        <w:t>2.</w:t>
        <w:tab/>
        <w:t>Require that all transmission service be offered, purchased and scheduled under a uniform, open-access transmission tariff, pursuant to the same Open-Access Same-time Information System (“OASIS”), including compliance with the standards of conduct governing affiliate transactions;</w:t>
      </w:r>
      <w:r>
        <w:rPr>
          <w:rStyle w:val="FootnoteReference"/>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Consolidate all existing transmission services into a single,</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uniform transmission service based on tradable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reservations;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tab/>
        <w:t>Collapse currently Balkanized control areas into appropriately structured and constituted regional operating entities capable of operating interconnected grids seamlessly and possessing incentives to maximize throughput;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1440"/>
        <w:jc w:val="both"/>
        <w:rPr/>
      </w:pPr>
      <w:r>
        <w:rPr>
          <w:rFonts w:eastAsia="Times New Roman" w:cs="Times New Roman" w:ascii="Times New Roman" w:hAnsi="Times New Roman"/>
          <w:color w:val="000000"/>
          <w:sz w:val="24"/>
          <w:szCs w:val="24"/>
        </w:rPr>
        <w:t>5.</w:t>
        <w:tab/>
        <w:t>Reclaim the Commission’s exclusive jurisdiction over the implementation of all rules affecting the terms and conditions of transmission service (including reliability rules</w:t>
      </w:r>
      <w:r>
        <w:rPr>
          <w:rStyle w:val="FootnoteReference"/>
        </w:rPr>
        <w:footnoteReference w:id="5"/>
      </w:r>
      <w:r>
        <w:rPr>
          <w:rFonts w:eastAsia="Times New Roman" w:cs="Times New Roman" w:ascii="Times New Roman" w:hAnsi="Times New Roman"/>
          <w:color w:val="000000"/>
          <w:sz w:val="24"/>
          <w:szCs w:val="24"/>
        </w:rPr>
        <w:t>) and ensure that such rules are not implemented unilaterally without Commission approval;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pPr>
      <w:r>
        <w:rPr>
          <w:rFonts w:eastAsia="Times New Roman" w:cs="Times New Roman" w:ascii="Times New Roman" w:hAnsi="Times New Roman"/>
          <w:color w:val="000000"/>
          <w:sz w:val="24"/>
          <w:szCs w:val="24"/>
        </w:rPr>
        <w:t>6.</w:t>
        <w:tab/>
        <w:t xml:space="preserve">Pending implementation of the foregoing structural reforms, clarify or revise certain aspects of the existing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open-access tariff to eliminate provisions or interpretations that have erected barriers to competitive entry and to competition in power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 taking these six steps, the Commission can complete (to the extent of its jurisdiction) the orderly  transition to competition in the electric power industry.  By contrast, failure to implement reforms such as these will protract the transition and may jeopardize the ultimate goal of an open and nondiscriminatory power industry.  In support of this petition, we respectfully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REMAINING OBSTACLES TO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COMPETITIVE POWER INDUSTRY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REQUIRE THE REQUESTED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Competitive Gains in Wholesale and Retail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Commission has transformed the industry with its “golden rule” of comparability in access to jurisdictional services.  </w:t>
      </w:r>
      <w:r>
        <w:rPr>
          <w:rFonts w:eastAsia="Times New Roman" w:cs="Times New Roman" w:ascii="Times New Roman" w:hAnsi="Times New Roman"/>
          <w:i/>
          <w:iCs/>
          <w:color w:val="000000"/>
          <w:sz w:val="24"/>
          <w:szCs w:val="24"/>
        </w:rPr>
        <w:t>American Electric Power Service Corp.</w:t>
      </w:r>
      <w:r>
        <w:rPr>
          <w:rFonts w:eastAsia="Times New Roman" w:cs="Times New Roman" w:ascii="Times New Roman" w:hAnsi="Times New Roman"/>
          <w:color w:val="000000"/>
          <w:sz w:val="24"/>
          <w:szCs w:val="24"/>
        </w:rPr>
        <w:t xml:space="preserve">, 67 F.E.R.C. ¶ 61,168 at 61,490 (1994).  The turning point came when the Commission subjected all transmitting public utilities to mandatory service comparability in Order No. 888, </w:t>
      </w:r>
      <w:r>
        <w:rPr>
          <w:rFonts w:eastAsia="Times New Roman" w:cs="Times New Roman" w:ascii="Times New Roman" w:hAnsi="Times New Roman"/>
          <w:i/>
          <w:iCs/>
          <w:color w:val="000000"/>
          <w:sz w:val="24"/>
          <w:szCs w:val="24"/>
        </w:rPr>
        <w:t>Promoting Wholesale Competition through Open Access Non-Discriminatory Transmission Services by Public Utilities, and Recovery of Stranded Costs by Public Utilities and Transmitting Utilities</w:t>
      </w:r>
      <w:r>
        <w:rPr>
          <w:rFonts w:eastAsia="Times New Roman" w:cs="Times New Roman" w:ascii="Times New Roman" w:hAnsi="Times New Roman"/>
          <w:color w:val="000000"/>
          <w:sz w:val="24"/>
          <w:szCs w:val="24"/>
        </w:rPr>
        <w:t xml:space="preserve">, Order No. 888, [1991-96 Regs. Preambles] F.E.R.C. Stats. &amp; Regs. ¶ 31,036 [hereinafter </w:t>
      </w:r>
      <w:r>
        <w:rPr>
          <w:rFonts w:eastAsia="Times New Roman" w:cs="Times New Roman" w:ascii="Times New Roman" w:hAnsi="Times New Roman"/>
          <w:i/>
          <w:iCs/>
          <w:color w:val="000000"/>
          <w:sz w:val="24"/>
          <w:szCs w:val="24"/>
        </w:rPr>
        <w:t>Order No. 888</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 xml:space="preserve">clarified, </w:t>
      </w:r>
      <w:r>
        <w:rPr>
          <w:rFonts w:eastAsia="Times New Roman" w:cs="Times New Roman" w:ascii="Times New Roman" w:hAnsi="Times New Roman"/>
          <w:color w:val="000000"/>
          <w:sz w:val="24"/>
          <w:szCs w:val="24"/>
        </w:rPr>
        <w:t xml:space="preserve">76 F.E.R.C. ¶¶ 61,009, 61,347 (1996), </w:t>
      </w:r>
      <w:r>
        <w:rPr>
          <w:rFonts w:eastAsia="Times New Roman" w:cs="Times New Roman" w:ascii="Times New Roman" w:hAnsi="Times New Roman"/>
          <w:i/>
          <w:iCs/>
          <w:color w:val="000000"/>
          <w:sz w:val="24"/>
          <w:szCs w:val="24"/>
        </w:rPr>
        <w:t>reh’g granted in part,</w:t>
      </w:r>
      <w:r>
        <w:rPr>
          <w:rFonts w:eastAsia="Times New Roman" w:cs="Times New Roman" w:ascii="Times New Roman" w:hAnsi="Times New Roman"/>
          <w:color w:val="000000"/>
          <w:sz w:val="24"/>
          <w:szCs w:val="24"/>
        </w:rPr>
        <w:t xml:space="preserve"> Order No. 888-A, III F.E.R.C. Stats. &amp; Regs. ¶ 31,048 (1997) [hereinafter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w:t>
      </w:r>
      <w:r>
        <w:rPr>
          <w:rFonts w:eastAsia="Times New Roman" w:cs="Times New Roman" w:ascii="Times New Roman" w:hAnsi="Times New Roman"/>
          <w:i/>
          <w:iCs/>
          <w:color w:val="000000"/>
          <w:sz w:val="24"/>
          <w:szCs w:val="24"/>
        </w:rPr>
        <w:t xml:space="preserve"> order on rehearing, </w:t>
      </w:r>
      <w:r>
        <w:rPr>
          <w:rFonts w:eastAsia="Times New Roman" w:cs="Times New Roman" w:ascii="Times New Roman" w:hAnsi="Times New Roman"/>
          <w:color w:val="000000"/>
          <w:sz w:val="24"/>
          <w:szCs w:val="24"/>
        </w:rPr>
        <w:t>Order No. 888-B, 81 F.E.R.C.</w:t>
      </w:r>
      <w:r>
        <w:rPr>
          <w:rFonts w:eastAsia="Times New Roman" w:cs="Times New Roman" w:ascii="Times New Roman" w:hAnsi="Times New Roman"/>
          <w:i/>
          <w:iCs/>
          <w:color w:val="000000"/>
          <w:sz w:val="24"/>
          <w:szCs w:val="24"/>
        </w:rPr>
        <w:t xml:space="preserve"> ¶ </w:t>
      </w:r>
      <w:r>
        <w:rPr>
          <w:rFonts w:eastAsia="Times New Roman" w:cs="Times New Roman" w:ascii="Times New Roman" w:hAnsi="Times New Roman"/>
          <w:color w:val="000000"/>
          <w:sz w:val="24"/>
          <w:szCs w:val="24"/>
        </w:rPr>
        <w:t>61,248 (1997),</w:t>
      </w:r>
      <w:r>
        <w:rPr>
          <w:rFonts w:eastAsia="Times New Roman" w:cs="Times New Roman" w:ascii="Times New Roman" w:hAnsi="Times New Roman"/>
          <w:i/>
          <w:iCs/>
          <w:color w:val="000000"/>
          <w:sz w:val="24"/>
          <w:szCs w:val="24"/>
        </w:rPr>
        <w:t xml:space="preserve"> appeal docketed sub nom. People of the State of New York v. FERC,</w:t>
      </w:r>
      <w:r>
        <w:rPr>
          <w:rFonts w:eastAsia="Times New Roman" w:cs="Times New Roman" w:ascii="Times New Roman" w:hAnsi="Times New Roman"/>
          <w:color w:val="000000"/>
          <w:sz w:val="24"/>
          <w:szCs w:val="24"/>
        </w:rPr>
        <w:t xml:space="preserve"> No. ____ (appeal docketed _______).</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Since the Order No. 888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tariffs were implemented in July 1996, many traditional barriers to transmission access have fallen.  Increased opportunities for trading  have introduced liquidity and transparent price-discovery in many power markets.  Liquidity and price-discovery in financial markets have moved the industry toward the Commission’s goal of “a freely traded commodity market in electricity in which wholesale customers can shop for competitively priced power.”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III F.E.R.C. Stats. &amp; Regs. at 30,176.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More recently, the competitive gains of the wholesale market, attributable to the “golden rule” and Order No. 888, have begun spilling over into retail markets.  Currently, 16 states are implementing regulatory or statutory changes to introduce full retail competition; in another 33 states retail competition is under active consideration.</w:t>
      </w:r>
      <w:r>
        <w:rPr>
          <w:rStyle w:val="FootnoteReference"/>
        </w:rPr>
        <w:footnoteReference w:id="6"/>
      </w:r>
      <w:r>
        <w:rPr>
          <w:rFonts w:eastAsia="Times New Roman" w:cs="Times New Roman" w:ascii="Times New Roman" w:hAnsi="Times New Roman"/>
          <w:color w:val="000000"/>
          <w:sz w:val="24"/>
          <w:szCs w:val="24"/>
        </w:rPr>
        <w:t xml:space="preserve">  The successful transition to retail competition will depend critically on all retail market competitors being able to obtain open and equal access to competitively priced power and to deliver it physically.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Limitations on Comparable Open Access Threaten to Deny Full Competition to Power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Notwithstanding impressive gains in introducing competition into the nation’s last bastion of vertically integrated monopolies, the transition to competition has faltered.  While it is true that wholesale transactions by new market entrants have been increasing, these transactions are mostly financial “paper” trades that never go to physical delivery.  They do not go to physical delivery because most transmission capacity needed to complete physical trades remains out of reach to new entrants; it is either committed to captive loads or to contracts exempted from nondiscriminatory open access under the grandfathering provisions of Order No. 888.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biggest obstacle to the introduction of competition is the only partially unbundled structure of the industry.  Within this structure, transmission owners retain incentives to discriminate and underutilize physical system capability.  These incentives are magnified by the owners and operators’ control of critical information.  The transition is also being impeded by rules and protocols (both old and new) intended for a vertically integrated industry that are preventing power from trading freely as a commodity at competitive prices.  Vehicles and services intended to inform and empower buyers and sellers so that they can compete more effectively have instead become cumbersome obstacles to competition; worse still, they have become tools of misinformation and market exclusion.  Concepts such as ATC and the OASIS have become vehicles for obstructing and curtailing, rather than accommodating, transactions.  Incumbents are able to deny new entrants access to critical, accurate  information across control areas.  This can take the form of out-of-date or incorrect postings of ATC or, in some instances, intentional withholding of actual ATC.  Regardless of the cause, more transmission capability is physically available than is being released for sale.  As a result, a large number of bulk power transactions that should go through are never completed.  Nor do the current operating rules for independent system operators (“ISOs”) and control areas do not, in fact, provide any incentives for increased throughput on the transmission system.  These roadblocks to competition will persist until the Commission </w:t>
      </w:r>
      <w:r>
        <w:rPr>
          <w:rFonts w:eastAsia="Times New Roman" w:cs="Times New Roman" w:ascii="Times New Roman" w:hAnsi="Times New Roman"/>
          <w:i/>
          <w:iCs/>
          <w:color w:val="000000"/>
          <w:sz w:val="24"/>
          <w:szCs w:val="24"/>
        </w:rPr>
        <w:t>re</w:t>
      </w:r>
      <w:r>
        <w:rPr>
          <w:rFonts w:eastAsia="Times New Roman" w:cs="Times New Roman" w:ascii="Times New Roman" w:hAnsi="Times New Roman"/>
          <w:color w:val="000000"/>
          <w:sz w:val="24"/>
          <w:szCs w:val="24"/>
        </w:rPr>
        <w:t>asserts its leadership in exorcizing from the industry those pre-competitive vestiges that reward discrimination and self-dealing and prevent transmission networks from operating efficiently.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i/>
          <w:i/>
          <w:iCs/>
          <w:color w:val="000000"/>
          <w:sz w:val="26"/>
          <w:szCs w:val="26"/>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A Bundled Industry that Divides into Three Parts, Each Enjoying Different and Unequal Access to the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Early in the analysis that produced Order No. 888, the Commission, together with the Bureau of Economics of the Federal Trade Commission (“BE/FTC”) and the Antitrust Division of the Department of Justice (“DOJ”), recognized that continued vertical integration and the failure to unbundle completely transmission monopoly functions from merchant sales functions would perpetuate incentives to discriminate and abuse market power.  </w:t>
      </w:r>
      <w:r>
        <w:rPr>
          <w:rFonts w:eastAsia="Times New Roman" w:cs="Times New Roman" w:ascii="Times New Roman" w:hAnsi="Times New Roman"/>
          <w:i/>
          <w:iCs/>
          <w:color w:val="000000"/>
          <w:sz w:val="24"/>
          <w:szCs w:val="24"/>
        </w:rPr>
        <w:t>See Order No. 888</w:t>
      </w:r>
      <w:r>
        <w:rPr>
          <w:rFonts w:eastAsia="Times New Roman" w:cs="Times New Roman" w:ascii="Times New Roman" w:hAnsi="Times New Roman"/>
          <w:color w:val="000000"/>
          <w:sz w:val="24"/>
          <w:szCs w:val="24"/>
        </w:rPr>
        <w:t>, [1991-96 Regs. Preambles] F.E.R.C. Stats. &amp; Regs. at 31,654-55 (FTC/DOJ stated that functional unbundling alone required additional safeguards to protect against market power).  In the notice of proposed rulemaking, the Commission recognized that failure to unbundle transmission services completely</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will result in service under two separate arrangements – an explicit wholesale transmission tariff at the Commission and an implicit retail transmission tariff governed by a state regulatory body.  It also raises the possibility that the quality of transmission service for retail purposes will be superior to the quality of transmission service offered for wholesale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Notice of Proposed Rulemaking Promoting Wholesale Competition through Open Access Non-Discriminatory Transmission Services by Public Utilities</w:t>
      </w:r>
      <w:r>
        <w:rPr>
          <w:rFonts w:eastAsia="Times New Roman" w:cs="Times New Roman" w:ascii="Times New Roman" w:hAnsi="Times New Roman"/>
          <w:color w:val="000000"/>
          <w:sz w:val="24"/>
          <w:szCs w:val="24"/>
        </w:rPr>
        <w:t xml:space="preserve">, IV F.E.R.C. ¶ 32,514 at 33,081-82 (1995) [hereinafter </w:t>
      </w:r>
      <w:r>
        <w:rPr>
          <w:rFonts w:eastAsia="Times New Roman" w:cs="Times New Roman" w:ascii="Times New Roman" w:hAnsi="Times New Roman"/>
          <w:i/>
          <w:iCs/>
          <w:color w:val="000000"/>
          <w:sz w:val="24"/>
          <w:szCs w:val="24"/>
        </w:rPr>
        <w:t>Open-Access NOPR</w:t>
      </w:r>
      <w:r>
        <w:rPr>
          <w:rFonts w:eastAsia="Times New Roman" w:cs="Times New Roman" w:ascii="Times New Roman" w:hAnsi="Times New Roman"/>
          <w:color w:val="000000"/>
          <w:sz w:val="24"/>
          <w:szCs w:val="24"/>
        </w:rPr>
        <w:t xml:space="preserve">].  In the resulting final rule, the Commission explained that “the unbundling of retail transmission and generation, as well as wholesale transmission and generation, would be helpful in achieving comparability” by subjecting all transmission uses to the “golden rule” of service comparability.  </w:t>
      </w:r>
      <w:r>
        <w:rPr>
          <w:rFonts w:eastAsia="Times New Roman" w:cs="Times New Roman" w:ascii="Times New Roman" w:hAnsi="Times New Roman"/>
          <w:i/>
          <w:iCs/>
          <w:color w:val="000000"/>
          <w:sz w:val="24"/>
          <w:szCs w:val="24"/>
        </w:rPr>
        <w:t xml:space="preserve">Order No. 888, </w:t>
      </w:r>
      <w:r>
        <w:rPr>
          <w:rFonts w:eastAsia="Times New Roman" w:cs="Times New Roman" w:ascii="Times New Roman" w:hAnsi="Times New Roman"/>
          <w:color w:val="000000"/>
          <w:sz w:val="24"/>
          <w:szCs w:val="24"/>
        </w:rPr>
        <w:t>[1991-96 Regs. Preambles] F.E.R.C. Stats. &amp; Regs. at 31,699.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Despite these findings and conclusions, the Commission elected not to require complete unbundling, at least in the near term.  The Commission explained that “[w]e are not now requiring any form of corporate unbundling,”</w:t>
      </w:r>
      <w:r>
        <w:rPr>
          <w:rFonts w:eastAsia="Times New Roman" w:cs="Times New Roman" w:ascii="Times New Roman" w:hAnsi="Times New Roman"/>
          <w:i/>
          <w:iCs/>
          <w:color w:val="000000"/>
          <w:sz w:val="24"/>
          <w:szCs w:val="24"/>
        </w:rPr>
        <w:t xml:space="preserve"> id.</w:t>
      </w:r>
      <w:r>
        <w:rPr>
          <w:rFonts w:eastAsia="Times New Roman" w:cs="Times New Roman" w:ascii="Times New Roman" w:hAnsi="Times New Roman"/>
          <w:color w:val="000000"/>
          <w:sz w:val="24"/>
          <w:szCs w:val="24"/>
        </w:rPr>
        <w:t xml:space="preserve"> at 31,655, but clarified on rehearing that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720"/>
        <w:jc w:val="both"/>
        <w:rPr/>
      </w:pPr>
      <w:r>
        <w:rPr>
          <w:rFonts w:eastAsia="Times New Roman" w:cs="Times New Roman" w:ascii="Times New Roman" w:hAnsi="Times New Roman"/>
          <w:color w:val="000000"/>
          <w:sz w:val="24"/>
          <w:szCs w:val="24"/>
        </w:rPr>
        <w:t xml:space="preserve">[w]e do emphasize . . . that we have not adopted a rigid approach, but have indicated a willingness to monitor the situation and, if events require, reevaluate our decision and decide that another mechanism may be more appropriate.  </w:t>
      </w:r>
      <w:r>
        <w:rPr>
          <w:rFonts w:eastAsia="Times New Roman" w:cs="Times New Roman" w:ascii="Times New Roman" w:hAnsi="Times New Roman"/>
          <w:i/>
          <w:iCs/>
          <w:color w:val="000000"/>
          <w:sz w:val="24"/>
          <w:szCs w:val="24"/>
        </w:rPr>
        <w:t>Until we see evidence that functional unbundling will not work</w:t>
      </w:r>
      <w:r>
        <w:rPr>
          <w:rFonts w:eastAsia="Times New Roman" w:cs="Times New Roman" w:ascii="Times New Roman" w:hAnsi="Times New Roman"/>
          <w:color w:val="000000"/>
          <w:sz w:val="24"/>
          <w:szCs w:val="24"/>
        </w:rPr>
        <w:t>, we will continue to require functional unbundling, with the Safeguards enumerated in [Order No. 888] and in Order No. 889.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III F.E.R.C. Stats. &amp; Regs. at 30,186 (emphasis added).</w:t>
      </w:r>
      <w:r>
        <w:rPr>
          <w:rStyle w:val="FootnoteReference"/>
        </w:rPr>
        <w:footnoteReference w:id="7"/>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 xml:space="preserve">Instead of unbundling and making all transmission uses subject to comparability and a public utility’s open-access tariff, the Commission ordered that only wholesale transmission be unbundled from generation; other transmission uses that remained bundled with generation delivered to a vertically integrated utility’s captive customers would continue to elude service comparability and open access, at least for the near term.  </w:t>
      </w:r>
      <w:r>
        <w:rPr>
          <w:rFonts w:eastAsia="Times New Roman" w:cs="Times New Roman" w:ascii="Times New Roman" w:hAnsi="Times New Roman"/>
          <w:i/>
          <w:iCs/>
          <w:color w:val="000000"/>
          <w:sz w:val="24"/>
          <w:szCs w:val="24"/>
        </w:rPr>
        <w:t>Order No. 888,</w:t>
      </w:r>
      <w:r>
        <w:rPr>
          <w:rFonts w:eastAsia="Times New Roman" w:cs="Times New Roman" w:ascii="Times New Roman" w:hAnsi="Times New Roman"/>
          <w:color w:val="000000"/>
          <w:sz w:val="24"/>
          <w:szCs w:val="24"/>
        </w:rPr>
        <w:t>[1991-96 Regs. Preambles] F.E.R.C. Stats. &amp; Regs. at 31,699-700.</w:t>
      </w:r>
      <w:r>
        <w:rPr>
          <w:rStyle w:val="FootnoteReference"/>
        </w:rPr>
        <w:footnoteReference w:id="8"/>
      </w:r>
      <w:r>
        <w:rPr>
          <w:rFonts w:eastAsia="Times New Roman" w:cs="Times New Roman" w:ascii="Times New Roman" w:hAnsi="Times New Roman"/>
          <w:color w:val="000000"/>
          <w:sz w:val="24"/>
          <w:szCs w:val="24"/>
        </w:rPr>
        <w:t xml:space="preserve">  However, if that retail transmission were ever to become unbundled, then it would become subject to comparability and the public utility’s open-access tariff.  The Commission explained that: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unbundled retail transmission in interstate commerce occurs voluntarily by a public utility or as a result of a state retail access program, this Commission has exclusive jurisdiction over the rates, terms and conditions of such transmission. . . .  [W]e find compelling  the fact that section 201 of the FPA, on its face, gives this Commission jurisdiction in interstate commerce (by public utilities) without qualification.  Unlike our jurisdiction over sales of electric energy, which section 201 of the FPA specifically limits to sales at wholesale, the statute does not limit our transmission jurisdiction over public utilities to wholesale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 xml:space="preserve">Id. </w:t>
      </w:r>
      <w:r>
        <w:rPr>
          <w:rFonts w:eastAsia="Times New Roman" w:cs="Times New Roman" w:ascii="Times New Roman" w:hAnsi="Times New Roman"/>
          <w:color w:val="000000"/>
          <w:sz w:val="24"/>
          <w:szCs w:val="24"/>
        </w:rPr>
        <w:t>at 31,781.  The Commission clarified on rehearing that unbundled retail transmission must be offered and provided pursuant only to a public utility’s open-access tariff on file with the Commission and that “retail customers taking unbundled service pursuant to a state requirement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direct retail service)” are eligible for such service under the open-access tariff.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 30,179.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As a result of the Commission’s threshold choice of functional unbundling over operational unbundling and its decision to subject only transmission in connection with wholesale sales to comparability and open access, the current power industry divides into three parts that often function at crossed purposes.  The </w:t>
      </w:r>
      <w:r>
        <w:rPr>
          <w:rFonts w:eastAsia="Times New Roman" w:cs="Times New Roman" w:ascii="Times New Roman" w:hAnsi="Times New Roman"/>
          <w:i/>
          <w:iCs/>
          <w:color w:val="000000"/>
          <w:sz w:val="24"/>
          <w:szCs w:val="24"/>
        </w:rPr>
        <w:t>first part</w:t>
      </w:r>
      <w:r>
        <w:rPr>
          <w:rFonts w:eastAsia="Times New Roman" w:cs="Times New Roman" w:ascii="Times New Roman" w:hAnsi="Times New Roman"/>
          <w:color w:val="000000"/>
          <w:sz w:val="24"/>
          <w:szCs w:val="24"/>
        </w:rPr>
        <w:t xml:space="preserve"> is the wholesale, bulk power market, which comprises less than 20 percent of the power market.</w:t>
      </w:r>
      <w:r>
        <w:rPr>
          <w:rStyle w:val="FootnoteReference"/>
        </w:rPr>
        <w:footnoteReference w:id="9"/>
      </w:r>
      <w:r>
        <w:rPr>
          <w:rFonts w:eastAsia="Times New Roman" w:cs="Times New Roman" w:ascii="Times New Roman" w:hAnsi="Times New Roman"/>
          <w:color w:val="000000"/>
          <w:sz w:val="24"/>
          <w:szCs w:val="24"/>
        </w:rPr>
        <w:t xml:space="preserve">  In the words of the rulemaking notice that produced Order No. 888, this is the market that operates under the “explicit wholesale transmission tariff filed at the Commission” and is firmly anchored in the Commission’s Orders No. 888 and No. 889.  Many, if not most, wholesale transactions are conducted at market-based rates by vendors found to have no market power or to have mitigated market power.  With important exceptions, this wholesale market enjoys relatively open and nondiscriminatory access.  Entry barriers are also relatively few, but (as explained more fully below)</w:t>
      </w:r>
      <w:r>
        <w:rPr>
          <w:rStyle w:val="FootnoteReference"/>
        </w:rPr>
        <w:footnoteReference w:id="10"/>
      </w:r>
      <w:r>
        <w:rPr>
          <w:rFonts w:eastAsia="Times New Roman" w:cs="Times New Roman" w:ascii="Times New Roman" w:hAnsi="Times New Roman"/>
          <w:color w:val="000000"/>
          <w:sz w:val="24"/>
          <w:szCs w:val="24"/>
        </w:rPr>
        <w:t xml:space="preserve"> entry barriers in the form of increasing transaction costs are growing steadily larger.  The </w:t>
      </w:r>
      <w:r>
        <w:rPr>
          <w:rFonts w:eastAsia="Times New Roman" w:cs="Times New Roman" w:ascii="Times New Roman" w:hAnsi="Times New Roman"/>
          <w:i/>
          <w:iCs/>
          <w:color w:val="000000"/>
          <w:sz w:val="24"/>
          <w:szCs w:val="24"/>
        </w:rPr>
        <w:t>second part</w:t>
      </w:r>
      <w:r>
        <w:rPr>
          <w:rFonts w:eastAsia="Times New Roman" w:cs="Times New Roman" w:ascii="Times New Roman" w:hAnsi="Times New Roman"/>
          <w:color w:val="000000"/>
          <w:sz w:val="24"/>
          <w:szCs w:val="24"/>
        </w:rPr>
        <w:t xml:space="preserve"> comprises traditional, vertically integrated utilities that offer open-access transmission service to wholesale customers but, for the most part, provide bundled generation-transmission-distribution-metering services at regulated prices, pursuant to state and local regulations and franchises.  Franchise entry barriers are absolute, and access to transmission is not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 xml:space="preserve">subject to open access and service comparability.  The </w:t>
      </w:r>
      <w:r>
        <w:rPr>
          <w:rFonts w:eastAsia="Times New Roman" w:cs="Times New Roman" w:ascii="Times New Roman" w:hAnsi="Times New Roman"/>
          <w:i/>
          <w:iCs/>
          <w:color w:val="000000"/>
          <w:sz w:val="24"/>
          <w:szCs w:val="24"/>
        </w:rPr>
        <w:t>third part</w:t>
      </w:r>
      <w:r>
        <w:rPr>
          <w:rFonts w:eastAsia="Times New Roman" w:cs="Times New Roman" w:ascii="Times New Roman" w:hAnsi="Times New Roman"/>
          <w:color w:val="000000"/>
          <w:sz w:val="24"/>
          <w:szCs w:val="24"/>
        </w:rPr>
        <w:t xml:space="preserve"> is where the unbundled bulk power and the bundled franchise markets begin to converge:  pockets of state-authorized retail competition in which unbundled open-access transmission is being introduced from generator to customer meter.  In this sector, all transmission is regulated under the Commission’s “golden rule”; retail sales and associated functions remain subject to state and local rules.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i/>
          <w:i/>
          <w:iCs/>
          <w:color w:val="000000"/>
          <w:sz w:val="26"/>
          <w:szCs w:val="26"/>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72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The Choice Is between Structural Reforms that Eliminate Incentives to Discriminate and Enforcing a Growing Number of Behavioral Rules to Police the Incentive to Discriminate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rulemaking that we request is needed to reconcile the unbundled wholesale and competitive retail parts of the industry with the vertically integrated transmission-distribution utility part of the business.  This reconciliation must focus on eliminating the incentive to discriminate.  The vertically integrated sector continues to control most transmission capacity either because that capacity remains bundled with retail services to captive customers or because incumbent utilities hold the capacity under contracts that are excused by grandfathering provisions from compliance with open access.  Thus, vertically integrated transmission-distribution utilities have a strong incentive to restrict the access of both wholesale and potential retail competitors to the transmission capacity that they control.  The BE/FTC described the resulting, skewed incentives in its comments in connection with Order No. 888: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FERC’s plan for “functional unbundling of power generation from transmission services address a critical competitive issue by requiring  vertically integrated utilities to grant open access and equal treatment to their competitors.  This approach, however, would </w:t>
      </w:r>
      <w:r>
        <w:rPr>
          <w:rFonts w:eastAsia="Times New Roman" w:cs="Times New Roman" w:ascii="Times New Roman" w:hAnsi="Times New Roman"/>
          <w:i/>
          <w:iCs/>
          <w:color w:val="000000"/>
          <w:sz w:val="24"/>
          <w:szCs w:val="24"/>
        </w:rPr>
        <w:t>leave in place the incentive and opportunity for some utilities to exercise market power in the regulated system.</w:t>
      </w:r>
      <w:r>
        <w:rPr>
          <w:rFonts w:eastAsia="Times New Roman" w:cs="Times New Roman" w:ascii="Times New Roman" w:hAnsi="Times New Roman"/>
          <w:color w:val="000000"/>
          <w:sz w:val="24"/>
          <w:szCs w:val="24"/>
        </w:rPr>
        <w:t xml:space="preserve">  Preventing them from doing so by enforcing regulations to control their </w:t>
      </w:r>
      <w:r>
        <w:rPr>
          <w:rFonts w:eastAsia="Times New Roman" w:cs="Times New Roman" w:ascii="Times New Roman" w:hAnsi="Times New Roman"/>
          <w:i/>
          <w:iCs/>
          <w:color w:val="000000"/>
          <w:sz w:val="24"/>
          <w:szCs w:val="24"/>
        </w:rPr>
        <w:t xml:space="preserve">behavior </w:t>
      </w:r>
      <w:r>
        <w:rPr>
          <w:rFonts w:eastAsia="Times New Roman" w:cs="Times New Roman" w:ascii="Times New Roman" w:hAnsi="Times New Roman"/>
          <w:color w:val="000000"/>
          <w:sz w:val="24"/>
          <w:szCs w:val="24"/>
        </w:rPr>
        <w:t>may prove difficult.  The problem would be most effectively prevented by completely separating ownership and control of generation from transmission.  This separation would remove both the incentive and the opportunity to exercise market power, by eliminating the utilities ability to discriminate in favor of their own generation operations.</w:t>
      </w:r>
      <w:r>
        <w:rPr>
          <w:rStyle w:val="FootnoteReference"/>
        </w:rPr>
        <w:footnoteReference w:id="11"/>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Before the Commission today is the choice between adopting and enforcing a growing body of behavioral rules and regulations or structural reforms.  We believe that the right choice is structural reform.  Not only are behavioral solutions less effective than structural solutions, experience increasingly is showing that the Commission does not have either the inclination or resources to establish and police behavioral rules that might prevent transmission owners and operators from discriminating (often very subtly</w:t>
      </w:r>
      <w:r>
        <w:rPr>
          <w:rStyle w:val="FootnoteReference"/>
        </w:rPr>
        <w:footnoteReference w:id="12"/>
      </w:r>
      <w:r>
        <w:rPr>
          <w:rFonts w:eastAsia="Times New Roman" w:cs="Times New Roman" w:ascii="Times New Roman" w:hAnsi="Times New Roman"/>
          <w:color w:val="000000"/>
          <w:sz w:val="24"/>
          <w:szCs w:val="24"/>
        </w:rPr>
        <w:t>) in their own favor.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Unilateral Rules Affecting Transmission Access Are Undermining Nondiscriminatory Open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Vertically integrated transmission-distribution utilities and their associations, such as the North American Electric Reliability Council (“NERC”), are increasingly seeking to impose restrictions and preconditions on how others in the wholesale and emerging retail markets are allowed to use transmission resources and access markets.</w:t>
      </w:r>
      <w:r>
        <w:rPr>
          <w:rStyle w:val="FootnoteReference"/>
        </w:rPr>
        <w:footnoteReference w:id="13"/>
      </w:r>
      <w:r>
        <w:rPr>
          <w:rFonts w:eastAsia="Times New Roman" w:cs="Times New Roman" w:ascii="Times New Roman" w:hAnsi="Times New Roman"/>
          <w:color w:val="000000"/>
          <w:sz w:val="24"/>
          <w:szCs w:val="24"/>
        </w:rPr>
        <w:t xml:space="preserve">  Whether intended to fill a gap left by Order No. 888 or redress incentives to discriminate within operationally bundled utility structures, these rules and preconditions are highly problematic.  Not only do they effectively usurp the Commission’s exclusive FPA jurisdiction over transmission service, but they also jeopardize the transition to competitive wholesale and retail markets in two other respects.  First, they create a regime of private tariffs -- subject to frequent change without notice -- that must be consulted in addition to the public tariff on file with the Commission before transmission customers can understand all of the rates, terms and conditions of transmission service.  Second, these unilateral rules and protocols emanate predominantly from the </w:t>
      </w:r>
      <w:r>
        <w:rPr>
          <w:rFonts w:eastAsia="Times New Roman" w:cs="Times New Roman" w:ascii="Times New Roman" w:hAnsi="Times New Roman"/>
          <w:i/>
          <w:iCs/>
          <w:color w:val="000000"/>
          <w:sz w:val="24"/>
          <w:szCs w:val="24"/>
        </w:rPr>
        <w:t>systems-operations</w:t>
      </w:r>
      <w:r>
        <w:rPr>
          <w:rFonts w:eastAsia="Times New Roman" w:cs="Times New Roman" w:ascii="Times New Roman" w:hAnsi="Times New Roman"/>
          <w:color w:val="000000"/>
          <w:sz w:val="24"/>
          <w:szCs w:val="24"/>
        </w:rPr>
        <w:t xml:space="preserve"> side of the power industry that lacks familiarity with, and is often hostile or indifferent to, the needs of </w:t>
      </w:r>
      <w:r>
        <w:rPr>
          <w:rFonts w:eastAsia="Times New Roman" w:cs="Times New Roman" w:ascii="Times New Roman" w:hAnsi="Times New Roman"/>
          <w:i/>
          <w:iCs/>
          <w:color w:val="000000"/>
          <w:sz w:val="24"/>
          <w:szCs w:val="24"/>
        </w:rPr>
        <w:t>commercial</w:t>
      </w:r>
      <w:r>
        <w:rPr>
          <w:rFonts w:eastAsia="Times New Roman" w:cs="Times New Roman" w:ascii="Times New Roman" w:hAnsi="Times New Roman"/>
          <w:color w:val="000000"/>
          <w:sz w:val="24"/>
          <w:szCs w:val="24"/>
        </w:rPr>
        <w:t xml:space="preserve"> markets.</w:t>
      </w:r>
      <w:r>
        <w:rPr>
          <w:rStyle w:val="FootnoteReference"/>
        </w:rPr>
        <w:footnoteReference w:id="1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FACTUAL BASIS FOR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Electric power markets are not operating as the seamless exchanges they are capable of emulating.  Buyers and sellers of electricity find themselves unable to consummate transactions for which adequate transmission capacity exists.  The cause for these market failures is, in large part, the remaining, vertically integrated structure of the power industry.  Embedded in this structure are incentives for vertically integrated transmission providers to discriminate against transmission customers that are their competitors in wholesale (and increasingly in retail) markets.  This discrimination takes the form of inaccurate, incomplete and untimely ATC postings, conflicting ATC determinations across the same interface, unreported transactions, untimely scheduling, extra-tariff pre-conditions on transmission service, rules that cut rather than accommodate transactions, improper exchanges of confidential information, and untimely processing of schedules.  In App. D, we recount specific (but by no means exhaustive) instances of common, real-world discriminatory practices, including instances of:</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Abuse of the preferential status of service to native load in order to enable or conceal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ATC exclusions, inaccuracies and misuses that deny new entrants the ability to evaluate market opportunities, and therefore, prevent reasonable access to the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Violations of transmission provider OASIS reporting requirements that relegate new entrants to seeking access in the dark;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Unauthorized exchanges of competitively valuable information on reservations and schedules between transmission system operators and their own or affiliated merchant operation employees;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Arbitrary imposition of extra-tariff restrictions on access that disproportionately burden new market entrants.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practices that we identify are undermining the development of competitive markets.  To a certain extent, these types of discrimination could be lessened or made less remunerative to transmission providers by strict enforcement of behavioral rules and by clarifications or revisions to the open-access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tariffs and their applications.  Real success in eradicating discrimination, however, will require structural reforms that address why transmission operators and their owners discriminate in the first place.  They do so because it is profitable and usually very hard to detect under the current market structure.  As is apparent from a majority of the examples provided in App. D, the discrimination recounted would not have been sustainable in a fully unbundled power industry where all customers are offered and take transmission service and exchange transmission-related information on the same basis, pursuant to the same set of rules.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LEGAL BASIS FOR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Commission has a responsibility and broad authority to remedy structural problems that perpetuate undue discrimination and confine competitive, commercial opportunities in the electric power industry after issuance and implementation of Orders No. 888 and 889.  Under FPA section 309, the “Commission shall have power to perform any and all acts, and to prescribe, issue, make, amend, and rescind such orders, rules, and regulations as it may find necessary or appropriate to carry out the provisions of [the FPA].”  16 U.S.C. § 825h (1988).  Provisions of the FPA, reviewed in App. E, establish ample authority for the Commission to find the post-Order No. 888 </w:t>
      </w:r>
      <w:r>
        <w:rPr>
          <w:rFonts w:eastAsia="Times New Roman" w:cs="Times New Roman" w:ascii="Times New Roman" w:hAnsi="Times New Roman"/>
          <w:i/>
          <w:iCs/>
          <w:color w:val="000000"/>
          <w:sz w:val="24"/>
          <w:szCs w:val="24"/>
        </w:rPr>
        <w:t xml:space="preserve">status quo </w:t>
      </w:r>
      <w:r>
        <w:rPr>
          <w:rFonts w:eastAsia="Times New Roman" w:cs="Times New Roman" w:ascii="Times New Roman" w:hAnsi="Times New Roman"/>
          <w:color w:val="000000"/>
          <w:sz w:val="24"/>
          <w:szCs w:val="24"/>
        </w:rPr>
        <w:t>discriminatory and not in the public interest, and thereafter to prescribe the remedies requested in this petition.  Further, the Commission’s authority under the FPA and the Public Utility Regulatory Policy Act of 1978, also reviewed in App. E, empowers the Commission to move the industry toward regional consolidation of transmission operations as requested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PROPOSED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I.</w:t>
        <w:tab/>
        <w:t>EXPERIENCE IN RESTRUCTURING THE NATURAL GAS INDUSTRY DEMONSTRATES THAT DEFERRING COMPLETE UNBUNDLING PERPETUATES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A.</w:t>
        <w:tab/>
        <w:t>Unbundling to Eradicate Undue Discrimination Is Needed More Acutely in the Electric Power Industry Today than It Was for the Less Integrated Natural Gas Industry before Order No. 636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Perpetuation of a dual market, one bundled, the other not, finds a parallel in the Commission’s experience in restructuring the natural gas industry.  Following introduction of open-access pipeline transportation per Order No. 436, discrimination persisted and service comparability continued to elude gas markets:</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[T]he firm transportation embedded within the </w:t>
      </w:r>
      <w:r>
        <w:rPr>
          <w:rFonts w:eastAsia="Times New Roman" w:cs="Times New Roman" w:ascii="Times New Roman" w:hAnsi="Times New Roman"/>
          <w:i/>
          <w:iCs/>
          <w:color w:val="000000"/>
          <w:sz w:val="24"/>
          <w:szCs w:val="24"/>
        </w:rPr>
        <w:t xml:space="preserve">pipelines’ bundled, city-gate, firm sales service is superior </w:t>
      </w:r>
      <w:r>
        <w:rPr>
          <w:rFonts w:eastAsia="Times New Roman" w:cs="Times New Roman" w:ascii="Times New Roman" w:hAnsi="Times New Roman"/>
          <w:color w:val="000000"/>
          <w:sz w:val="24"/>
          <w:szCs w:val="24"/>
        </w:rPr>
        <w:t>to the pipeline’s open-access firm transportation service.  This means that pipelines and other gas suppliers are not competing on an even basis for sales customers, even where firm transportation is available to move the gas sold by the pipelines’ competitors.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 xml:space="preserve">Order No. 636 </w:t>
      </w:r>
      <w:r>
        <w:rPr>
          <w:rFonts w:eastAsia="Times New Roman" w:cs="Times New Roman" w:ascii="Times New Roman" w:hAnsi="Times New Roman"/>
          <w:color w:val="000000"/>
          <w:sz w:val="24"/>
          <w:szCs w:val="24"/>
        </w:rPr>
        <w:t xml:space="preserve">at 30,402 (emphasis added).  Not until the Commission in Order No. 636 unbundled transportation completely from both the pipeline’s wholesales </w:t>
      </w:r>
      <w:r>
        <w:rPr>
          <w:rFonts w:eastAsia="Times New Roman" w:cs="Times New Roman" w:ascii="Times New Roman" w:hAnsi="Times New Roman"/>
          <w:i/>
          <w:iCs/>
          <w:color w:val="000000"/>
          <w:sz w:val="24"/>
          <w:szCs w:val="24"/>
        </w:rPr>
        <w:t>and its direct retail sales</w:t>
      </w:r>
      <w:r>
        <w:rPr>
          <w:rFonts w:eastAsia="Times New Roman" w:cs="Times New Roman" w:ascii="Times New Roman" w:hAnsi="Times New Roman"/>
          <w:color w:val="000000"/>
          <w:sz w:val="24"/>
          <w:szCs w:val="24"/>
        </w:rPr>
        <w:t xml:space="preserve"> was it able to achieve “an even basis for competition.”  </w:t>
      </w:r>
      <w:r>
        <w:rPr>
          <w:rFonts w:eastAsia="Times New Roman" w:cs="Times New Roman" w:ascii="Times New Roman" w:hAnsi="Times New Roman"/>
          <w:i/>
          <w:iCs/>
          <w:color w:val="000000"/>
          <w:sz w:val="24"/>
          <w:szCs w:val="24"/>
        </w:rPr>
        <w:t>Id.; see</w:t>
      </w:r>
      <w:r>
        <w:rPr>
          <w:rFonts w:eastAsia="Times New Roman" w:cs="Times New Roman" w:ascii="Times New Roman" w:hAnsi="Times New Roman"/>
          <w:color w:val="000000"/>
          <w:sz w:val="24"/>
          <w:szCs w:val="24"/>
        </w:rPr>
        <w:t xml:space="preserve"> 18 C.F.R. § 284.10 (1994) (requiring pipelines to phase in conversion rights for all firm sales service customers whose contracts preceded Order No. 436).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Open access </w:t>
      </w:r>
      <w:r>
        <w:rPr>
          <w:rFonts w:eastAsia="Times New Roman" w:cs="Times New Roman" w:ascii="Times New Roman" w:hAnsi="Times New Roman"/>
          <w:i/>
          <w:iCs/>
          <w:color w:val="000000"/>
          <w:sz w:val="24"/>
          <w:szCs w:val="24"/>
        </w:rPr>
        <w:t>alone</w:t>
      </w:r>
      <w:r>
        <w:rPr>
          <w:rFonts w:eastAsia="Times New Roman" w:cs="Times New Roman" w:ascii="Times New Roman" w:hAnsi="Times New Roman"/>
          <w:color w:val="000000"/>
          <w:sz w:val="24"/>
          <w:szCs w:val="24"/>
        </w:rPr>
        <w:t xml:space="preserve"> did not uproot the incentives for pipelines to discriminate in favor of their own sales and against third-party shippers.  Likewise, open-access electricity transmission and partial wholesale service unbundling have not and cannot establish comparability between the bundled transmission service that transmission-owning utilities use to serve their captive customers and the wholesale and unbundled retail transmission services that they provide to others.  The need to take the next step -- the Order No. 636 step -- toward complete operational unbundling is even more acute in the power industry than it ever was in the case of natural gas</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pipelines.  Up until Order No. 636, natural gas pipelines bundled services, but only the wholesale natural gas market and the pipeline transportation market; much of production and all of local distribution were independent and not within the vertically integrated operations of the interstate pipelines.  This limited bundling offered fewer incentives and opportunities for favoritism and discrimination than exist in the traditional, fully integrated electric power industry.  Nonetheless, it was only with Order No. 636, when pipelines became fully unbundled carriers, that natural gas shippers and purchasers gained access to transportation rights that were clearly defined, reliable, transparently priced, and truly comparable.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Discrimination will persist in the power industry so long as the pecuniary incentive to discriminate in favor of yourself or your affiliate or against a competitor remains great and the risk of detection and disgorgement is slight.  Discrimination will persist until there is complete unbundling and consumers of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transmission services, wholesale and retail, take service pursuant to the same tariff at posted rates.  The Commission’s authority </w:t>
      </w:r>
      <w:r>
        <w:rPr>
          <w:rFonts w:eastAsia="Times New Roman" w:cs="Times New Roman" w:ascii="Times New Roman" w:hAnsi="Times New Roman"/>
          <w:i/>
          <w:iCs/>
          <w:color w:val="000000"/>
          <w:sz w:val="24"/>
          <w:szCs w:val="24"/>
        </w:rPr>
        <w:t>and responsibility</w:t>
      </w:r>
      <w:r>
        <w:rPr>
          <w:rFonts w:eastAsia="Times New Roman" w:cs="Times New Roman" w:ascii="Times New Roman" w:hAnsi="Times New Roman"/>
          <w:color w:val="000000"/>
          <w:sz w:val="24"/>
          <w:szCs w:val="24"/>
        </w:rPr>
        <w:t xml:space="preserve"> under the FPA to address discriminatory differences between wholesale and retail markets is well established in the prevailing decisional precedents. </w:t>
      </w:r>
      <w:r>
        <w:rPr>
          <w:rFonts w:eastAsia="Times New Roman" w:cs="Times New Roman" w:ascii="Times New Roman" w:hAnsi="Times New Roman"/>
          <w:i/>
          <w:iCs/>
          <w:color w:val="000000"/>
          <w:sz w:val="24"/>
          <w:szCs w:val="24"/>
        </w:rPr>
        <w:t>See, e.g., Conway Corp.,</w:t>
      </w:r>
      <w:r>
        <w:rPr>
          <w:rFonts w:eastAsia="Times New Roman" w:cs="Times New Roman" w:ascii="Times New Roman" w:hAnsi="Times New Roman"/>
          <w:color w:val="000000"/>
          <w:sz w:val="24"/>
          <w:szCs w:val="24"/>
        </w:rPr>
        <w:t xml:space="preserve"> 426 U.S. at 273.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B.</w:t>
        <w:tab/>
        <w:t>The Same Authority that the Commission Wielded under the Natural Gas Act to Extend Nondiscriminatory Open Access to Fully Unbundled Transportation Service Is Equally Available under the Federal Power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i/>
          <w:i/>
          <w:iCs/>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Commission’s failure to unbundle and extend nondiscriminatory open access to all transmission, including transmission to retail customers, is inexplicably at odds with the decisional precedents under the Natural Gas Act (“NGA”).  In </w:t>
      </w:r>
      <w:r>
        <w:rPr>
          <w:rFonts w:eastAsia="Times New Roman" w:cs="Times New Roman" w:ascii="Times New Roman" w:hAnsi="Times New Roman"/>
          <w:i/>
          <w:iCs/>
          <w:color w:val="000000"/>
          <w:sz w:val="24"/>
          <w:szCs w:val="24"/>
        </w:rPr>
        <w:t>Mississippi River Transmission Corp. v. FERC</w:t>
      </w:r>
      <w:r>
        <w:rPr>
          <w:rFonts w:eastAsia="Times New Roman" w:cs="Times New Roman" w:ascii="Times New Roman" w:hAnsi="Times New Roman"/>
          <w:color w:val="000000"/>
          <w:sz w:val="24"/>
          <w:szCs w:val="24"/>
        </w:rPr>
        <w:t>, 969 F.2d 1215 (D.C. Cir. 1992), the court affirmed the Commission’s interpretation of NGA section 1(b), 15 U.S.C. § 717(b) (1988), as authorizing the Commission to regulate the price of transportation service that Mississippi River Transmission (“MRT”), a jurisdictional pipeline, provided in support of certain firm direct sales.  In relevant part, NGA section 1(b) is identical to FPA section 201(b):  “The provision of this chapter shall apply to the transportation of natural gas in interstate commerce . . . .”  Based on this broad grant of jurisdiction, the court held that: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FERC is </w:t>
      </w:r>
      <w:r>
        <w:rPr>
          <w:rFonts w:eastAsia="Times New Roman" w:cs="Times New Roman" w:ascii="Times New Roman" w:hAnsi="Times New Roman"/>
          <w:i/>
          <w:iCs/>
          <w:color w:val="000000"/>
          <w:sz w:val="24"/>
          <w:szCs w:val="24"/>
        </w:rPr>
        <w:t>not</w:t>
      </w:r>
      <w:r>
        <w:rPr>
          <w:rFonts w:eastAsia="Times New Roman" w:cs="Times New Roman" w:ascii="Times New Roman" w:hAnsi="Times New Roman"/>
          <w:color w:val="000000"/>
          <w:sz w:val="24"/>
          <w:szCs w:val="24"/>
        </w:rPr>
        <w:t xml:space="preserve"> barred from regulating a pipeline’s interstate transportation of natural gas merely because the sale of the gas being transported is not itself subject to federal regulation.  FERC’s authority over such transactions is beyond dispute.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 xml:space="preserve">969 F.2d at 1217 (emphasis added) (citing </w:t>
      </w:r>
      <w:r>
        <w:rPr>
          <w:rFonts w:eastAsia="Times New Roman" w:cs="Times New Roman" w:ascii="Times New Roman" w:hAnsi="Times New Roman"/>
          <w:i/>
          <w:iCs/>
          <w:color w:val="000000"/>
          <w:sz w:val="24"/>
          <w:szCs w:val="24"/>
        </w:rPr>
        <w:t>FPC v. East Ohio Gas Co.,</w:t>
      </w:r>
      <w:r>
        <w:rPr>
          <w:rFonts w:eastAsia="Times New Roman" w:cs="Times New Roman" w:ascii="Times New Roman" w:hAnsi="Times New Roman"/>
          <w:color w:val="000000"/>
          <w:sz w:val="24"/>
          <w:szCs w:val="24"/>
        </w:rPr>
        <w:t xml:space="preserve"> 338 U.S. 464, 468 (1950)); </w:t>
      </w:r>
      <w:r>
        <w:rPr>
          <w:rFonts w:eastAsia="Times New Roman" w:cs="Times New Roman" w:ascii="Times New Roman" w:hAnsi="Times New Roman"/>
          <w:i/>
          <w:iCs/>
          <w:color w:val="000000"/>
          <w:sz w:val="24"/>
          <w:szCs w:val="24"/>
        </w:rPr>
        <w:t>accord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Alabama Tennessee Natural Gas Co.</w:t>
      </w:r>
      <w:r>
        <w:rPr>
          <w:rFonts w:eastAsia="Times New Roman" w:cs="Times New Roman" w:ascii="Times New Roman" w:hAnsi="Times New Roman"/>
          <w:color w:val="000000"/>
          <w:sz w:val="24"/>
          <w:szCs w:val="24"/>
        </w:rPr>
        <w:t xml:space="preserve">, 64 F.E.R.C. ¶ 61,084 at 61,846 (1993); </w:t>
      </w:r>
      <w:r>
        <w:rPr>
          <w:rFonts w:eastAsia="Times New Roman" w:cs="Times New Roman" w:ascii="Times New Roman" w:hAnsi="Times New Roman"/>
          <w:i/>
          <w:iCs/>
          <w:color w:val="000000"/>
          <w:sz w:val="24"/>
          <w:szCs w:val="24"/>
        </w:rPr>
        <w:t>Carnegie Natural Gas Co.,</w:t>
      </w:r>
      <w:r>
        <w:rPr>
          <w:rFonts w:eastAsia="Times New Roman" w:cs="Times New Roman" w:ascii="Times New Roman" w:hAnsi="Times New Roman"/>
          <w:color w:val="000000"/>
          <w:sz w:val="24"/>
          <w:szCs w:val="24"/>
        </w:rPr>
        <w:t xml:space="preserve"> 63 F.E.R.C. ¶ 61,103 at 61,612 (1993).  The court expressly rejected MRT’s contention that the Commission’s NGA § 1(b) jurisdiction to regulate the price, terms and conditions of interstate transportation is divested whenever the transportation is bundled with a non-jurisdictional retail sale.  The court found this contention untenable as it would invite private parties to game the Commission’s jurisdiction:</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As far as the statute is concerned, there would have been no doubt of FERC’s section 1(b) authority if MRT, instead of charging a bundled price, had charged separately for transporting the gas and for the gas itself.  To accept MRT’s position would therefore be </w:t>
      </w:r>
      <w:r>
        <w:rPr>
          <w:rFonts w:eastAsia="Times New Roman" w:cs="Times New Roman" w:ascii="Times New Roman" w:hAnsi="Times New Roman"/>
          <w:i/>
          <w:iCs/>
          <w:color w:val="000000"/>
          <w:sz w:val="24"/>
          <w:szCs w:val="24"/>
        </w:rPr>
        <w:t>tantamount to conferring on private parties the power to decide whether FERC could set the rate for interstate transportation</w:t>
      </w:r>
      <w:r>
        <w:rPr>
          <w:rFonts w:eastAsia="Times New Roman" w:cs="Times New Roman" w:ascii="Times New Roman" w:hAnsi="Times New Roman"/>
          <w:color w:val="000000"/>
          <w:sz w:val="24"/>
          <w:szCs w:val="24"/>
        </w:rPr>
        <w:t>.  Private parties would have this power because it would be entirely up to them whether to structure a direct sale and interstate-transportation transaction in terms of a bundled price or separate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xml:space="preserve"> at 1218 (emphasis added).</w:t>
      </w:r>
      <w:r>
        <w:rPr>
          <w:rStyle w:val="FootnoteReference"/>
        </w:rPr>
        <w:footnoteReference w:id="15"/>
      </w:r>
      <w:r>
        <w:rPr>
          <w:rFonts w:eastAsia="Times New Roman" w:cs="Times New Roman" w:ascii="Times New Roman" w:hAnsi="Times New Roman"/>
          <w:color w:val="000000"/>
          <w:sz w:val="24"/>
          <w:szCs w:val="24"/>
        </w:rPr>
        <w:t xml:space="preserve">  Just as the Commission’s NGA jurisdiction to regulate natural gas transportation to retail customers was “beyond dispute” in </w:t>
      </w:r>
      <w:r>
        <w:rPr>
          <w:rFonts w:eastAsia="Times New Roman" w:cs="Times New Roman" w:ascii="Times New Roman" w:hAnsi="Times New Roman"/>
          <w:i/>
          <w:iCs/>
          <w:color w:val="000000"/>
          <w:sz w:val="24"/>
          <w:szCs w:val="24"/>
        </w:rPr>
        <w:t>Mississippi River,</w:t>
      </w:r>
      <w:r>
        <w:rPr>
          <w:rFonts w:eastAsia="Times New Roman" w:cs="Times New Roman" w:ascii="Times New Roman" w:hAnsi="Times New Roman"/>
          <w:color w:val="000000"/>
          <w:sz w:val="24"/>
          <w:szCs w:val="24"/>
        </w:rPr>
        <w:t xml:space="preserve"> the Commission’s FPA § 201(b) jurisdiction to unbundle and regulate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transmission in interstate commerce is legally beyond dispute.  There is no rational basis for regulating differently undifferentiated uses of the interstate transmission lines.  Achieving and policing comparability and open access will require the Commission to go beyond artificial distinctions between wholesale and retail transactions and insist that all transmission service be provided on a comparable, non-discriminatory basis.  This can only be accomplished by unbundling transmission from all power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b/>
          <w:bCs/>
          <w:color w:val="000000"/>
          <w:sz w:val="28"/>
          <w:szCs w:val="28"/>
        </w:rPr>
        <w:t>II.</w:t>
        <w:tab/>
        <w:t>TWO SEPARATE REGULATORY REGIMES FOR INTERSTATE TRANSMISSION</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bCs/>
          <w:color w:val="000000"/>
          <w:sz w:val="28"/>
          <w:szCs w:val="28"/>
        </w:rPr>
        <w:t xml:space="preserve">INVITE DISCRIMINATION </w:t>
      </w:r>
      <w:r>
        <w:rPr>
          <w:rFonts w:eastAsia="Times New Roman" w:cs="Times New Roman" w:ascii="Times New Roman" w:hAnsi="Times New Roman"/>
          <w:b/>
          <w:bCs/>
          <w:color w:val="000000"/>
          <w:sz w:val="28"/>
          <w:szCs w:val="28"/>
        </w:rPr>
        <w:t>AND</w:t>
      </w:r>
      <w:r>
        <w:rPr>
          <w:rFonts w:eastAsia="Times New Roman" w:cs="Times New Roman" w:ascii="Times New Roman" w:hAnsi="Times New Roman"/>
          <w:b/>
          <w:bCs/>
          <w:color w:val="000000"/>
          <w:sz w:val="28"/>
          <w:szCs w:val="28"/>
        </w:rPr>
        <w:t xml:space="preserve"> AN UNLAWFUL DELEGATION OF </w:t>
      </w:r>
      <w:r>
        <w:rPr>
          <w:rFonts w:eastAsia="Times New Roman" w:cs="Times New Roman" w:ascii="Times New Roman" w:hAnsi="Times New Roman"/>
          <w:b/>
          <w:bCs/>
          <w:color w:val="000000"/>
          <w:sz w:val="28"/>
          <w:szCs w:val="28"/>
        </w:rPr>
        <w:t>COMMISSION JURISDICTION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w:hAnsi="Times New" w:eastAsia="Times New" w:cs="Times New"/>
          <w:b/>
          <w:bCs/>
          <w:i/>
          <w:i/>
          <w:iCs/>
          <w:color w:val="000000"/>
          <w:sz w:val="26"/>
          <w:szCs w:val="26"/>
        </w:rPr>
      </w:pPr>
      <w:r>
        <w:rPr>
          <w:rFonts w:eastAsia="Times New" w:cs="Times New" w:ascii="Times New" w:hAnsi="Times New"/>
          <w:b/>
          <w:bCs/>
          <w:i/>
          <w:iCs/>
          <w:color w:val="000000"/>
          <w:sz w:val="26"/>
          <w:szCs w:val="26"/>
        </w:rPr>
        <w:t>A.</w:t>
        <w:tab/>
        <w:t>Permitting Bundled Transmission to Escape Non-discriminatory Open-Access Is an Unwise and Unlawful Delegation of Commission Jurisdiction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w:cs="Times New" w:ascii="Times New" w:hAnsi="Times New"/>
          <w:color w:val="000000"/>
          <w:sz w:val="24"/>
          <w:szCs w:val="24"/>
        </w:rPr>
        <w:t>Most uses of the interconnected electric transmission grid are in connection with bundled sales of power that vertically integrated utilities generate, transmit, distribute, meter and sell to their captive retail customers.  These sales account for more than 80 percent of all electricity transmitted; in contrast, less than 20 percent of the uses of the transmission system are in connection with unbundled wholesale transactions.</w:t>
      </w:r>
      <w:r>
        <w:rPr>
          <w:rStyle w:val="FootnoteReference"/>
        </w:rPr>
        <w:footnoteReference w:id="16"/>
      </w:r>
      <w:r>
        <w:rPr>
          <w:rFonts w:eastAsia="Times New" w:cs="Times New" w:ascii="Times New" w:hAnsi="Times New"/>
          <w:color w:val="000000"/>
          <w:sz w:val="24"/>
          <w:szCs w:val="24"/>
        </w:rPr>
        <w:t xml:space="preserve">  Under Order No. 888, this means that the Commission only exercises its jurisdiction to regulate on an unbundled basis less than 20 percent of the transmission of electric energy in interstate commerce.  Of the over 80 percent that is sold to retail customers, the Commission will exercise jurisdiction only over the transmission component of the small number of transactions that have been unbundled voluntarily or in response to state regulatory directives (often in connection with customer choice programs).  Conversely, where a state perpetuates bundled service to captive retail customers, the Commission relinquishes its authority to regulate transmission service to state or local regulators or legislators that control when and whether to introduce retail competition.  Thus, as nondiscriminatory open access is currently enforced under Order No. 888, the scope of the Commission’s transmission jurisdiction is predominantly a function of state regulatory policy. </w:t>
      </w:r>
      <w:r>
        <w:rPr>
          <w:rFonts w:eastAsia="Times New" w:cs="Times New" w:ascii="Times New" w:hAnsi="Times New"/>
          <w:color w:val="000000"/>
          <w:sz w:val="24"/>
          <w:szCs w:val="24"/>
        </w:rPr>
        <w:t>This amounts to an impermissible delegation of the Commission’s responsibility to ensure that all transmission service is offered on a basis that is not unduly discriminatory.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Until now, the Commission has chosen to apply a narrow reading to its jurisdictional mandate over all transmission, and an expansive reading to the statute’s jurisdictional exception for retail sales.  As a result, the jurisdiction of the Commission over transmission and the scope of its authority to remedy undue discrimination through nondiscriminatory open access varies depending upon a state’s choice regarding when and whether to unbundle.  In </w:t>
      </w:r>
      <w:r>
        <w:rPr>
          <w:rFonts w:eastAsia="Times New Roman" w:cs="Times New Roman" w:ascii="Times New Roman" w:hAnsi="Times New Roman"/>
          <w:i/>
          <w:iCs/>
          <w:color w:val="000000"/>
          <w:sz w:val="24"/>
          <w:szCs w:val="24"/>
        </w:rPr>
        <w:t>Phillips Petroleum v. Wisconsin</w:t>
      </w:r>
      <w:r>
        <w:rPr>
          <w:rFonts w:eastAsia="Times New Roman" w:cs="Times New Roman" w:ascii="Times New Roman" w:hAnsi="Times New Roman"/>
          <w:color w:val="000000"/>
          <w:sz w:val="24"/>
          <w:szCs w:val="24"/>
        </w:rPr>
        <w:t xml:space="preserve">, 347 U.S. 672 (1954), the Supreme Court confronted a comparable question as to the scope of the Commission’s jurisdiction.  It stated that “the jurisdiction of the Federal Power Commission was not intended to vary from state to state, depending upon the degree of state regulation and of state opposition to federal control.”  </w:t>
      </w: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xml:space="preserve">. at 681.  In the proposed rulemaking, the Commission should confirm its plenary regulatory authority over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transmission and put an end to the current system that makes its jurisdiction vary from state to state depending on state regulatory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w:hAnsi="Times New" w:eastAsia="Times New" w:cs="Times New"/>
          <w:b/>
          <w:bCs/>
          <w:i/>
          <w:i/>
          <w:iCs/>
          <w:color w:val="000000"/>
          <w:sz w:val="26"/>
          <w:szCs w:val="26"/>
        </w:rPr>
      </w:pPr>
      <w:r>
        <w:rPr>
          <w:rFonts w:eastAsia="Times New" w:cs="Times New" w:ascii="Times New" w:hAnsi="Times New"/>
          <w:b/>
          <w:bCs/>
          <w:i/>
          <w:iCs/>
          <w:color w:val="000000"/>
          <w:sz w:val="26"/>
          <w:szCs w:val="26"/>
        </w:rPr>
        <w:t>B.</w:t>
        <w:tab/>
        <w:t>Extending Nondiscriminatory Open-Access to All Transmission Is Consistent with Decisional Precedents and the Operational Reality of the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FPA section 201 confers on the Commission plenary authority over all facilities used for the interstate transmission of electric energy.</w:t>
      </w:r>
      <w:r>
        <w:rPr>
          <w:rStyle w:val="FootnoteReference"/>
        </w:rPr>
        <w:footnoteReference w:id="17"/>
      </w:r>
      <w:r>
        <w:rPr>
          <w:rFonts w:eastAsia="Times New Roman" w:cs="Times New Roman" w:ascii="Times New Roman" w:hAnsi="Times New Roman"/>
          <w:color w:val="000000"/>
          <w:sz w:val="24"/>
          <w:szCs w:val="24"/>
        </w:rPr>
        <w:t xml:space="preserve">  The statute contains no limitation on the Commission’s jurisdiction over interstate transmission; only “local distribution” is excluded.  As it now stands, however, the Commission will assert jurisdiction over interstate  transmission of power that does not enter the wholesale market only when the transmission service has been unbundled voluntarily or at the directive of state authorities.  If the state has not unbundled transmission, the Commission will not assert jurisdiction.  This current practice puts the states in the position of determining whether or not the Commission asserts jurisdiction over transmission in interstate commerce.  This delegation of authority ignores the statute’s broad jurisdictional charge, which the Commission elsewhere has recognized it “cannot delegate.”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III F.E.R.C. Stats. &amp; Regs. at 30,345.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In Order No. 888, the Commission discussed at length the reach of its transmission jurisdiction.  </w:t>
      </w:r>
      <w:r>
        <w:rPr>
          <w:rFonts w:eastAsia="Times New Roman" w:cs="Times New Roman" w:ascii="Times New Roman" w:hAnsi="Times New Roman"/>
          <w:i/>
          <w:iCs/>
          <w:color w:val="000000"/>
          <w:sz w:val="24"/>
          <w:szCs w:val="24"/>
        </w:rPr>
        <w:t>See</w:t>
      </w:r>
      <w:r>
        <w:rPr>
          <w:rFonts w:eastAsia="Times New Roman" w:cs="Times New Roman" w:ascii="Times New Roman" w:hAnsi="Times New Roman"/>
          <w:color w:val="000000"/>
          <w:sz w:val="24"/>
          <w:szCs w:val="24"/>
        </w:rPr>
        <w:t xml:space="preserve"> App. G</w:t>
      </w:r>
      <w:r>
        <w:rPr>
          <w:rFonts w:eastAsia="Times New Roman" w:cs="Times New Roman" w:ascii="Times New Roman" w:hAnsi="Times New Roman"/>
          <w:i/>
          <w:iCs/>
          <w:color w:val="000000"/>
          <w:sz w:val="24"/>
          <w:szCs w:val="24"/>
        </w:rPr>
        <w:t>, Order No. 888</w:t>
      </w:r>
      <w:r>
        <w:rPr>
          <w:rFonts w:eastAsia="Times New Roman" w:cs="Times New Roman" w:ascii="Times New Roman" w:hAnsi="Times New Roman"/>
          <w:color w:val="000000"/>
          <w:sz w:val="24"/>
          <w:szCs w:val="24"/>
        </w:rPr>
        <w:t xml:space="preserve">, [1991-96 Regs. Preambles] F.E.R.C. Stats. &amp; Regs. at 31,966.  It recognized that “the statute on its face limits Commission jurisdiction over sales of energy to sales at wholesale, but does not limit jurisdiction over transmission to transmission used only for wholesale sales.”  </w:t>
      </w: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xml:space="preserve">. at 31,966 - 67.  Despite this unremarkable conclusion, the Commission opted not to subject bundled transmission to nondiscriminatory open access because the FPA denies the Commission jurisdiction over retail </w:t>
      </w:r>
      <w:r>
        <w:rPr>
          <w:rFonts w:eastAsia="Times New Roman" w:cs="Times New Roman" w:ascii="Times New Roman" w:hAnsi="Times New Roman"/>
          <w:i/>
          <w:iCs/>
          <w:color w:val="000000"/>
          <w:sz w:val="24"/>
          <w:szCs w:val="24"/>
        </w:rPr>
        <w:t>sales</w:t>
      </w:r>
      <w:r>
        <w:rPr>
          <w:rFonts w:eastAsia="Times New Roman" w:cs="Times New Roman" w:ascii="Times New Roman" w:hAnsi="Times New Roman"/>
          <w:color w:val="000000"/>
          <w:sz w:val="24"/>
          <w:szCs w:val="24"/>
        </w:rPr>
        <w:t>.  “[R]etail sales,” the Commission observed, “historically have been bundled sales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generation and transmission), and courts and the Commission have recognized State jurisdiction over bundled sales of energy.”  </w:t>
      </w: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at 31,969.  With this confusion of interstate transmission jurisdiction and sales jurisdiction, the Commission concluded its discussion; it provided no further explanation as to why the interstate transmission component of  bundled and unbundled wholesale and retail power sales  are different for jurisdictional purposes under the FPA.</w:t>
      </w:r>
      <w:r>
        <w:rPr>
          <w:rStyle w:val="FootnoteReference"/>
        </w:rPr>
        <w:footnoteReference w:id="18"/>
      </w:r>
      <w:r>
        <w:rPr>
          <w:rFonts w:eastAsia="Times New Roman" w:cs="Times New Roman" w:ascii="Times New Roman" w:hAnsi="Times New Roman"/>
          <w:color w:val="000000"/>
          <w:sz w:val="24"/>
          <w:szCs w:val="24"/>
        </w:rPr>
        <w:t xml:space="preserve">  This cursory analysis simply does not and cannot support the Commission’s apparent conclusion that it must defer to state regulation of bundled transmission and confine nondiscriminatory open access to the relatively small universe of transmission that is used for unbundled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Commission’s foundation for not asserting jurisdiction over all transmission appears to rest on decisional precedents implicitly sanctioning the past Commission practice of not asserting  jurisdiction over bundled transmission to retail customers.  The Commission cited </w:t>
      </w:r>
      <w:r>
        <w:rPr>
          <w:rFonts w:eastAsia="Times New Roman" w:cs="Times New Roman" w:ascii="Times New Roman" w:hAnsi="Times New Roman"/>
          <w:i/>
          <w:iCs/>
          <w:color w:val="000000"/>
          <w:sz w:val="24"/>
          <w:szCs w:val="24"/>
        </w:rPr>
        <w:t>United Distribution Cos. v. FERC</w:t>
      </w:r>
      <w:r>
        <w:rPr>
          <w:rFonts w:eastAsia="Times New Roman" w:cs="Times New Roman" w:ascii="Times New Roman" w:hAnsi="Times New Roman"/>
          <w:color w:val="000000"/>
          <w:sz w:val="24"/>
          <w:szCs w:val="24"/>
        </w:rPr>
        <w:t xml:space="preserve">, 88 F.3d 1105 (D.C. Cir. 1996), in which Petitioners challenged the Commission’s jurisdiction over the transportation component of unbundled natural gas pipeline services.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xml:space="preserve">, III F.E.R.C. Stats. &amp; Regs. at 30,340.  Rejecting Petitioners’ arguments in that case, the court found the Commission’s explanation of the regulatory environment “convincing,” in particular the historical division between the Commission’s authority to regulate unbundled transportation and the states’ authority to regulate bundled retail sales, of which natural gas transportation is one component.  </w:t>
      </w:r>
      <w:r>
        <w:rPr>
          <w:rFonts w:eastAsia="Times New Roman" w:cs="Times New Roman" w:ascii="Times New Roman" w:hAnsi="Times New Roman"/>
          <w:i/>
          <w:iCs/>
          <w:color w:val="000000"/>
          <w:sz w:val="24"/>
          <w:szCs w:val="24"/>
        </w:rPr>
        <w:t xml:space="preserve">United Distribution, </w:t>
      </w:r>
      <w:r>
        <w:rPr>
          <w:rFonts w:eastAsia="Times New Roman" w:cs="Times New Roman" w:ascii="Times New Roman" w:hAnsi="Times New Roman"/>
          <w:color w:val="000000"/>
          <w:sz w:val="24"/>
          <w:szCs w:val="24"/>
        </w:rPr>
        <w:t xml:space="preserve">88 F.3d at 1152-53.  It should be noted, however, that the Petitioners in </w:t>
      </w:r>
      <w:r>
        <w:rPr>
          <w:rFonts w:eastAsia="Times New Roman" w:cs="Times New Roman" w:ascii="Times New Roman" w:hAnsi="Times New Roman"/>
          <w:i/>
          <w:iCs/>
          <w:color w:val="000000"/>
          <w:sz w:val="24"/>
          <w:szCs w:val="24"/>
        </w:rPr>
        <w:t>United Distribution</w:t>
      </w:r>
      <w:r>
        <w:rPr>
          <w:rFonts w:eastAsia="Times New Roman" w:cs="Times New Roman" w:ascii="Times New Roman" w:hAnsi="Times New Roman"/>
          <w:color w:val="000000"/>
          <w:sz w:val="24"/>
          <w:szCs w:val="24"/>
        </w:rPr>
        <w:t xml:space="preserve"> were advocating a limitation on the Commission’s jurisdiction to regulate the transportation component of formerly bundled natural gas sales.  Properly read, </w:t>
      </w:r>
      <w:r>
        <w:rPr>
          <w:rFonts w:eastAsia="Times New Roman" w:cs="Times New Roman" w:ascii="Times New Roman" w:hAnsi="Times New Roman"/>
          <w:i/>
          <w:iCs/>
          <w:color w:val="000000"/>
          <w:sz w:val="24"/>
          <w:szCs w:val="24"/>
        </w:rPr>
        <w:t>United Distribution</w:t>
      </w:r>
      <w:r>
        <w:rPr>
          <w:rFonts w:eastAsia="Times New Roman" w:cs="Times New Roman" w:ascii="Times New Roman" w:hAnsi="Times New Roman"/>
          <w:color w:val="000000"/>
          <w:sz w:val="24"/>
          <w:szCs w:val="24"/>
        </w:rPr>
        <w:t xml:space="preserve"> simply validates Commission jurisdiction over </w:t>
      </w:r>
      <w:r>
        <w:rPr>
          <w:rFonts w:eastAsia="Times New Roman" w:cs="Times New Roman" w:ascii="Times New Roman" w:hAnsi="Times New Roman"/>
          <w:i/>
          <w:iCs/>
          <w:color w:val="000000"/>
          <w:sz w:val="24"/>
          <w:szCs w:val="24"/>
        </w:rPr>
        <w:t>un</w:t>
      </w:r>
      <w:r>
        <w:rPr>
          <w:rFonts w:eastAsia="Times New Roman" w:cs="Times New Roman" w:ascii="Times New Roman" w:hAnsi="Times New Roman"/>
          <w:color w:val="000000"/>
          <w:sz w:val="24"/>
          <w:szCs w:val="24"/>
        </w:rPr>
        <w:t xml:space="preserve">bundled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transportation; it does not proscribe the assertion of Commission jurisdiction over bundled transportation.</w:t>
      </w:r>
      <w:r>
        <w:rPr>
          <w:rStyle w:val="FootnoteReference"/>
        </w:rPr>
        <w:footnoteReference w:id="19"/>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w:hAnsi="Times New" w:eastAsia="Times New" w:cs="Times Ne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w:cs="Times New" w:ascii="Times New" w:hAnsi="Times New"/>
          <w:color w:val="000000"/>
          <w:sz w:val="24"/>
          <w:szCs w:val="24"/>
        </w:rPr>
        <w:t xml:space="preserve">So long as neither the Commission nor state regulators conceived that bundled service to captive retail customers could be broken down into its component parts, including transmission, the Commission’s failure to assert jurisdiction over the transmission component of bundled retail power service was both pragmatic and understandable.  </w:t>
      </w:r>
      <w:r>
        <w:rPr>
          <w:rFonts w:eastAsia="Times New" w:cs="Times New" w:ascii="Times New" w:hAnsi="Times New"/>
          <w:color w:val="000000"/>
          <w:sz w:val="24"/>
          <w:szCs w:val="24"/>
        </w:rPr>
        <w:t xml:space="preserve">Jurisdiction not yet perceived to exist could not be relinquished; there was no impermissible delegation.  Today, however, its is simply untenable to construe the Commission’s jurisdiction under the FPA as if interstate transmission is inextricable from retail sales by vertically integrated utilities.  There is no basis for continuing to conceive of the industry in this antiquated structure.  Indeed, it is particularly unjustifiable to do so in light of the Commission’s recognition -- and that of the DOJ and BE/FTC -- that two markets for transmission -- one explicit and the other implicit -- invite discrimination.  </w:t>
      </w:r>
      <w:r>
        <w:rPr>
          <w:rFonts w:eastAsia="Times New" w:cs="Times New" w:ascii="Times New" w:hAnsi="Times New"/>
          <w:i/>
          <w:iCs/>
          <w:color w:val="000000"/>
          <w:sz w:val="24"/>
          <w:szCs w:val="24"/>
        </w:rPr>
        <w:t>Open-Access NOPR,</w:t>
      </w:r>
      <w:r>
        <w:rPr>
          <w:rFonts w:eastAsia="Times New" w:cs="Times New" w:ascii="Times New" w:hAnsi="Times New"/>
          <w:color w:val="000000"/>
          <w:sz w:val="24"/>
          <w:szCs w:val="24"/>
        </w:rPr>
        <w:t xml:space="preserve"> IV F.E.R.C. at 33,081; </w:t>
      </w:r>
      <w:r>
        <w:rPr>
          <w:rFonts w:eastAsia="Times New" w:cs="Times New" w:ascii="Times New" w:hAnsi="Times New"/>
          <w:i/>
          <w:iCs/>
          <w:color w:val="000000"/>
          <w:sz w:val="24"/>
          <w:szCs w:val="24"/>
        </w:rPr>
        <w:t>see Order No. 888,</w:t>
      </w:r>
      <w:r>
        <w:rPr>
          <w:rFonts w:eastAsia="Times New" w:cs="Times New" w:ascii="Times New" w:hAnsi="Times New"/>
          <w:color w:val="000000"/>
          <w:sz w:val="24"/>
          <w:szCs w:val="24"/>
        </w:rPr>
        <w:t xml:space="preserve"> [1991-96 Regs. Preambles] F.E.R.C. Stats. &amp; Regs. at 31,699.  Transmission is a separate and separable component of practically every delivery of  electric power.  Failing to make the implicit transmission component of retail sales explicit and subject to the “golden rule” of service comparability cannot  be justified.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C.</w:t>
        <w:tab/>
        <w:t xml:space="preserve">The Commission Must End the Ability of Vertically Integrated Utilities to Use  Native Load Privileges to Block Competitors Access to the Most Valuable Segment of the Transmission Grid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There are a number of strategic regional markets in which new entrants have been unable to penetrate precisely because regional, vertically integrated utilities with captive customers are able to “block” ATC across particularly valuable interconnections by heavily scheduling across the interconnection in the name of service to native load.</w:t>
      </w:r>
      <w:r>
        <w:rPr>
          <w:rStyle w:val="FootnoteReference"/>
        </w:rPr>
        <w:footnoteReference w:id="20"/>
      </w:r>
      <w:r>
        <w:rPr>
          <w:rFonts w:eastAsia="Times New Roman" w:cs="Times New Roman" w:ascii="Times New Roman" w:hAnsi="Times New Roman"/>
          <w:color w:val="000000"/>
          <w:sz w:val="24"/>
          <w:szCs w:val="24"/>
        </w:rPr>
        <w:t xml:space="preserve">  By hiding transmission rights from the market behind claims of service to native load so that there is no ATC over a particular interface, the utility can block other purchasers within the utility’s system --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a transmission dependent utility -- from accessing low-cost external sources of supply, thereby making itself the monopsony buyer for those external sellers.  In many instances, this same utility will turn around and sell power from its own internal resources to buyers on another side of its system.  The effect is to capture for the benefit of the transmission-owning utility access to external, low-cost power sources, by limiting potential competition at wholesale for these low-cost resources and thereby eliminating competition within its traditional service territory.  This would not be possible if all uses of the transmission system, including transmission connected to native load service, were subject to the same open-access rules and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Petitioners are aware of numerous instances of utility merchant functions or marketing affiliates routinely reserving access to valuable transmission import paths, under the guise of obtaining power for native load needs, only to simultaneously export the utility’s own generation from the same control area in amounts equal to or greater than the imports.  Certain of these instances are recounted in App. D.  It is bad enough that, by importing power under a  native load or network service designation and then exporting it at the same time with point-to-point service, the utility wholesale merchant operations or its marketing affiliate gains access to a higher priority of service than is available to the rest of the market for power wheels on a given corridor.  Even more injurious to competition is the fact that, by misusing the native load exclusion, the utility can prevent transmission capacity from ever making it to the market, thereby limiting competition across these paths, and in effect cornering the opportunity to buy and wheel-in cheaper power from one adjoining area.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Vertically integrated utilities with captive customers should not be able to use their native load exclusion as a vehicle for wheeling transactions, or for blocking a valuable interface by simultaneously buying across that interface for native load while selling its own equivalent resources into the economy interchange across an interface elsewhere on its system.  Such predatory uses of native load privileges not only allow utility affiliates to game scheduling priorities, but they also effectively defeat open access to many of the most valuable segments of the transmission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b/>
          <w:bCs/>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both"/>
        <w:rPr>
          <w:rFonts w:ascii="Times New" w:hAnsi="Times New" w:eastAsia="Times New" w:cs="Times New"/>
          <w:b/>
          <w:bCs/>
          <w:i/>
          <w:i/>
          <w:iCs/>
          <w:color w:val="000000"/>
          <w:sz w:val="26"/>
          <w:szCs w:val="26"/>
        </w:rPr>
      </w:pPr>
      <w:r>
        <w:rPr>
          <w:rFonts w:eastAsia="Times New" w:cs="Times New" w:ascii="Times New" w:hAnsi="Times New"/>
          <w:b/>
          <w:bCs/>
          <w:i/>
          <w:iCs/>
          <w:color w:val="000000"/>
          <w:sz w:val="26"/>
          <w:szCs w:val="26"/>
        </w:rPr>
        <w:t>D.</w:t>
        <w:tab/>
        <w:t>The Current Rule Permits (and May Invite) Regulatory Forum Shopping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w:cs="Times New" w:ascii="Times New" w:hAnsi="Times New"/>
          <w:color w:val="000000"/>
          <w:sz w:val="24"/>
          <w:szCs w:val="24"/>
        </w:rPr>
        <w:t>Order No. 888 confers on most transmission-owning utilities a choice as to which forum will regulate its uses of the transmission system.  This choice is not available to their non-transmission-owning competitors.</w:t>
      </w:r>
      <w:r>
        <w:rPr>
          <w:rFonts w:eastAsia="Times New" w:cs="Times New" w:ascii="Times New" w:hAnsi="Times New"/>
          <w:color w:val="000000"/>
          <w:sz w:val="24"/>
          <w:szCs w:val="24"/>
        </w:rPr>
        <w:t xml:space="preserve">  Order No. 888 creates this discriminatory choice by exempting from nondiscriminatory open access the transmission-owning utilities’ uses of the transmission service for vertically integrated retail services.  The majority of today’s vertically integrated transmission-owning electric utilities have marketing affiliates.  These utilities can elect to acquire power and transmission for captive retail customers through their vertically integrated structure and thereby obtain state regulation of their transmission services.  Alternatively, by structuring some or all acquisitions of energy and capacity for captive retail customers as transactions through the marketing affiliate, the affiliate can secure nondiscriminatory open-access service as regulated by this Commission.  These opportunities for regulatory forum shopping are not available to new entrants and other non-traditional market participants, and therefore invite abuse.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w:cs="Times New" w:ascii="Times New" w:hAnsi="Times New"/>
          <w:color w:val="000000"/>
          <w:sz w:val="24"/>
          <w:szCs w:val="24"/>
        </w:rPr>
        <w:t xml:space="preserve">A case in point is the pending request of California’s investor-owned utilities (made in connection with the restructuring of the California market) asking this Commission to defer to transmission rates that the California Public Utilities Commission set for service to retail customers.  Joint Phase II Filing of Pacific Gas &amp; Electric Co., Southern California Edison Co., and San Diego Gas &amp; Electric Co., Docket Nos. EC96-19-000, ER96-1663-000, </w:t>
      </w:r>
      <w:r>
        <w:rPr>
          <w:rFonts w:eastAsia="Times New" w:cs="Times New" w:ascii="Times New" w:hAnsi="Times New"/>
          <w:i/>
          <w:iCs/>
          <w:color w:val="000000"/>
          <w:sz w:val="24"/>
          <w:szCs w:val="24"/>
        </w:rPr>
        <w:t>Transmittal Letter</w:t>
      </w:r>
      <w:r>
        <w:rPr>
          <w:rFonts w:eastAsia="Times New" w:cs="Times New" w:ascii="Times New" w:hAnsi="Times New"/>
          <w:color w:val="000000"/>
          <w:sz w:val="24"/>
          <w:szCs w:val="24"/>
        </w:rPr>
        <w:t xml:space="preserve">, at 5 (Mar. 31,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w:hAnsi="Times New" w:eastAsia="Times New" w:cs="Times New"/>
          <w:color w:val="000000"/>
          <w:sz w:val="24"/>
          <w:szCs w:val="24"/>
        </w:rPr>
      </w:pPr>
      <w:r>
        <w:rPr>
          <w:rFonts w:eastAsia="Times New" w:cs="Times New" w:ascii="Times New" w:hAnsi="Times New"/>
          <w:color w:val="000000"/>
          <w:sz w:val="24"/>
          <w:szCs w:val="24"/>
        </w:rPr>
        <w:t>1997).  If not rejected (as it should be), the request will result in three federal wholesale transmission rates and as many as three separate and different retail transmission rates -- one for each of the Golden State’s investor-owned utilities.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III.</w:t>
        <w:tab/>
        <w:t>ALL TRANSMISSION SHOULD BE OFFERED PURSUANT TO THE SAME TARIFFS, RULES, AND INFORMATION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i/>
          <w:i/>
          <w:iCs/>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In the same manner as the interstate natural gas pipelines are required under Order No. 497, [1986-90 Regs. Preambles] F.E.R.C. Stats. &amp; Regs. ¶ 30,820, and Order No. 636, transmission-owning electric utilities should be required to implement tariffs, including OASIS reporting and reservation procedures, and Standards of Conduct that offer uniform transmission service for all transmission customers.  Vertically integrated utilities should be directed to treat non-affiliated marketing companies in a uniform fashion comparable to how they treat their own integrated merchant functions.  There should be no special dispensations, information or access for one retail provider’s captive load as opposed to the captive load of some other retail provider.  Indeed, the very concepts of </w:t>
      </w:r>
      <w:r>
        <w:rPr>
          <w:rFonts w:eastAsia="Times New Roman" w:cs="Times New Roman" w:ascii="Times New Roman" w:hAnsi="Times New Roman"/>
          <w:i/>
          <w:iCs/>
          <w:color w:val="000000"/>
          <w:sz w:val="24"/>
          <w:szCs w:val="24"/>
        </w:rPr>
        <w:t>load server</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i/>
          <w:iCs/>
          <w:color w:val="000000"/>
          <w:sz w:val="24"/>
          <w:szCs w:val="24"/>
        </w:rPr>
        <w:t>native load</w:t>
      </w:r>
      <w:r>
        <w:rPr>
          <w:rFonts w:eastAsia="Times New Roman" w:cs="Times New Roman" w:ascii="Times New Roman" w:hAnsi="Times New Roman"/>
          <w:color w:val="000000"/>
          <w:sz w:val="24"/>
          <w:szCs w:val="24"/>
        </w:rPr>
        <w:t xml:space="preserve"> are anachronisms that should be replaced with the nomenclature of markets:</w:t>
      </w:r>
      <w:r>
        <w:rPr>
          <w:rFonts w:eastAsia="Times New Roman" w:cs="Times New Roman" w:ascii="Times New Roman" w:hAnsi="Times New Roman"/>
          <w:i/>
          <w:iCs/>
          <w:color w:val="000000"/>
          <w:sz w:val="24"/>
          <w:szCs w:val="24"/>
        </w:rPr>
        <w:t xml:space="preserve"> seller</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i/>
          <w:iCs/>
          <w:color w:val="000000"/>
          <w:sz w:val="24"/>
          <w:szCs w:val="24"/>
        </w:rPr>
        <w:t>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In this requested rulemaking, we ask the Commission specifically to:  (1) consolidate point-to-point and network service into a uniform system for offering tradable capacity rights; (2) make all uses of transmission systems subject to the uniform tariff and dependent upon the same OASIS for information concerning access to the transmission system;</w:t>
      </w:r>
      <w:r>
        <w:rPr>
          <w:rStyle w:val="FootnoteReference"/>
        </w:rPr>
        <w:footnoteReference w:id="21"/>
      </w:r>
      <w:r>
        <w:rPr>
          <w:rFonts w:eastAsia="Times New Roman" w:cs="Times New Roman" w:ascii="Times New Roman" w:hAnsi="Times New Roman"/>
          <w:color w:val="000000"/>
          <w:sz w:val="24"/>
          <w:szCs w:val="24"/>
        </w:rPr>
        <w:t xml:space="preserve"> (3) direct system operators to improve ATC determinations; (4) require transmission system operators to offer under the uniform tariff the same hourly firm service that they themselves use to serve captive loads; and (5) increase the efficiency of scheduling service under the uniform tariff by directing transmission system operators to accommodate reservations and schedules that pool external resources and aggregate or “batch” transactions across interfaces.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6"/>
          <w:szCs w:val="26"/>
        </w:rPr>
        <w:t>A.</w:t>
        <w:tab/>
        <w:t>The Commission Should Consolidate Point-to-Point and Network Service into a Single, Uniform Transmission</w:t>
      </w:r>
      <w:r>
        <w:rPr>
          <w:rFonts w:eastAsia="Times New Roman" w:cs="Times New Roman" w:ascii="Times New Roman" w:hAnsi="Times New Roman"/>
          <w:b/>
          <w:bCs/>
          <w:i/>
          <w:iCs/>
          <w:color w:val="000000"/>
          <w:sz w:val="26"/>
          <w:szCs w:val="26"/>
        </w:rPr>
        <w:t xml:space="preserve"> </w:t>
      </w:r>
      <w:r>
        <w:rPr>
          <w:rFonts w:eastAsia="Times New Roman" w:cs="Times New Roman" w:ascii="Times New Roman" w:hAnsi="Times New Roman"/>
          <w:b/>
          <w:bCs/>
          <w:i/>
          <w:iCs/>
          <w:color w:val="000000"/>
          <w:sz w:val="26"/>
          <w:szCs w:val="26"/>
        </w:rPr>
        <w:t>Offering Based on Tradable Reservations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Simultaneously with the issuance of Order Nos. 888 and 889, the Commission proposed another rule, the Capacity Reservation Tariff NOPR (“CRT Tariff”), which contemplated replacing the network and point-to-point services of the Order No. 888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open-access transmission tariff with a single reservation transmission service for all system users.  </w:t>
      </w:r>
      <w:r>
        <w:rPr>
          <w:rFonts w:eastAsia="Times New Roman" w:cs="Times New Roman" w:ascii="Times New Roman" w:hAnsi="Times New Roman"/>
          <w:i/>
          <w:iCs/>
          <w:color w:val="000000"/>
          <w:sz w:val="24"/>
          <w:szCs w:val="24"/>
        </w:rPr>
        <w:t>See Capacity Reservation Open-Access Transmission Tariffs</w:t>
      </w:r>
      <w:r>
        <w:rPr>
          <w:rFonts w:eastAsia="Times New Roman" w:cs="Times New Roman" w:ascii="Times New Roman" w:hAnsi="Times New Roman"/>
          <w:color w:val="000000"/>
          <w:sz w:val="24"/>
          <w:szCs w:val="24"/>
        </w:rPr>
        <w:t>, Notice of Proposed Rulemaking, [Proposed Regs.] IV F.E.R.C. ¶ 32,519 at 33,229 (1996) [hereinafter cited as “</w:t>
      </w:r>
      <w:r>
        <w:rPr>
          <w:rFonts w:eastAsia="Times New Roman" w:cs="Times New Roman" w:ascii="Times New Roman" w:hAnsi="Times New Roman"/>
          <w:i/>
          <w:iCs/>
          <w:color w:val="000000"/>
          <w:sz w:val="24"/>
          <w:szCs w:val="24"/>
        </w:rPr>
        <w:t>CRT NOPR</w:t>
      </w:r>
      <w:r>
        <w:rPr>
          <w:rFonts w:eastAsia="Times New Roman" w:cs="Times New Roman" w:ascii="Times New Roman" w:hAnsi="Times New Roman"/>
          <w:color w:val="000000"/>
          <w:sz w:val="24"/>
          <w:szCs w:val="24"/>
        </w:rPr>
        <w:t xml:space="preserve">”].  The proposal to consolidate network and point-to-point service grew out of fundamental inconsistencies and inequalities inherent in the existing bifurcated tariff.  Those inconsistencies in service persist and are growing worse.  While the CRT Tariff proposal was seriously flawed, the time is now ripe to move ahead with a reservation-based transmission offering to replace the existing services under the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In the CRT NOPR, the Commission articulated several reasons why it believes placing all transmission users on a reservation basis may be more consistent with nondiscriminatory open access and competitive restructuring.  First, the Commission suggested that reservation-based service may be more compatible with the final rule implementing the OASIS because reservations would assist public utilities in forecasting customer loads, thereby making it easier to calculate ATC values for the utilities’ systems.  Requiring each transmission customer, including the transmission provider, to specify how much transmission capacity it will need ensures that all customers are treated comparably without the transmission provider having to make forecasts only for a limited universe of customers.  The Commission acknowledged the risk that a reservation-based transmission service might lead to an underestimate of ATC because some customers might be induced to base reservations on an estimate of their maximum</w:t>
      </w:r>
      <w:r>
        <w:rPr>
          <w:rFonts w:eastAsia="Times New Roman" w:cs="Times New Roman" w:ascii="Times New Roman" w:hAnsi="Times New Roman"/>
          <w:i/>
          <w:iCs/>
          <w:color w:val="000000"/>
          <w:sz w:val="24"/>
          <w:szCs w:val="24"/>
        </w:rPr>
        <w:t xml:space="preserve"> non-coincident</w:t>
      </w:r>
      <w:r>
        <w:rPr>
          <w:rFonts w:eastAsia="Times New Roman" w:cs="Times New Roman" w:ascii="Times New Roman" w:hAnsi="Times New Roman"/>
          <w:color w:val="000000"/>
          <w:sz w:val="24"/>
          <w:szCs w:val="24"/>
        </w:rPr>
        <w:t xml:space="preserve"> peak load.  That risk, however, should not deter the Commission from moving forward with a consolidated, reservation-based tariff since the incentive to oversubscribe reservations can be eliminated by:  (1) making all reservations of firm service subject to payment at the time of the reservation (unless subsequently curtailed); (2) defining the reservations as use-or-lose rights; and (3) encouraging an active secondary market in which holders of reservation rights can sell them and system operators can offer unscheduled reservations on an interruptible basis.  Indeed, with access to a liquid secondary market, most loads or load-serving entities would find it prudent to reduce their reservations to </w:t>
      </w:r>
      <w:r>
        <w:rPr>
          <w:rFonts w:eastAsia="Times New Roman" w:cs="Times New Roman" w:ascii="Times New Roman" w:hAnsi="Times New Roman"/>
          <w:i/>
          <w:iCs/>
          <w:color w:val="000000"/>
          <w:sz w:val="24"/>
          <w:szCs w:val="24"/>
        </w:rPr>
        <w:t>no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more than</w:t>
      </w:r>
      <w:r>
        <w:rPr>
          <w:rFonts w:eastAsia="Times New Roman" w:cs="Times New Roman" w:ascii="Times New Roman" w:hAnsi="Times New Roman"/>
          <w:color w:val="000000"/>
          <w:sz w:val="24"/>
          <w:szCs w:val="24"/>
        </w:rPr>
        <w:t xml:space="preserve"> their </w:t>
      </w:r>
      <w:r>
        <w:rPr>
          <w:rFonts w:eastAsia="Times New Roman" w:cs="Times New Roman" w:ascii="Times New Roman" w:hAnsi="Times New Roman"/>
          <w:i/>
          <w:iCs/>
          <w:color w:val="000000"/>
          <w:sz w:val="24"/>
          <w:szCs w:val="24"/>
        </w:rPr>
        <w:t>coincident</w:t>
      </w:r>
      <w:r>
        <w:rPr>
          <w:rFonts w:eastAsia="Times New Roman" w:cs="Times New Roman" w:ascii="Times New Roman" w:hAnsi="Times New Roman"/>
          <w:color w:val="000000"/>
          <w:sz w:val="24"/>
          <w:szCs w:val="24"/>
        </w:rPr>
        <w:t xml:space="preserve"> peak.</w:t>
      </w:r>
      <w:r>
        <w:rPr>
          <w:rStyle w:val="FootnoteReference"/>
        </w:rPr>
        <w:footnoteReference w:id="2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Further, the Commission recognized that placing all transmission customers on the same basis under the reservation-based system would eliminate discriminatory results that are obtained when the same service is offered pursuant to different pricing methodologies.  For example, if  a utility has two identical transmission customers, each with a load of 50 MW and each projecting that its load for the next year could be as low as 40 MW or as high as 60 MW, one utility may decide to take network service, while the other takes 60 MW of point-to-point service.  If these are the only two customers on the system, and each actually uses 60 MW in the next year, each pays half the transmission cost.  But if each used 40 MW, the point-to-point customer pays 60 percent of the cost while the network customer pays just 40 percent.</w:t>
      </w:r>
      <w:r>
        <w:rPr>
          <w:rStyle w:val="FootnoteReference"/>
        </w:rPr>
        <w:footnoteReference w:id="2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 xml:space="preserve">In proposing a single transmission service based on reservation of capacity, the Commission highlighted at least two serious problems with load-based network service that have become increasingly apparent since implementation of the Order No. 888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tariff.  First, because load-based network service cannot be resold, </w:t>
      </w:r>
      <w:r>
        <w:rPr>
          <w:rFonts w:eastAsia="Times New Roman" w:cs="Times New Roman" w:ascii="Times New Roman" w:hAnsi="Times New Roman"/>
          <w:i/>
          <w:iCs/>
          <w:color w:val="000000"/>
          <w:sz w:val="24"/>
          <w:szCs w:val="24"/>
        </w:rPr>
        <w:t>Order No. 888</w:t>
      </w:r>
      <w:r>
        <w:rPr>
          <w:rFonts w:eastAsia="Times New Roman" w:cs="Times New Roman" w:ascii="Times New Roman" w:hAnsi="Times New Roman"/>
          <w:color w:val="000000"/>
          <w:sz w:val="24"/>
          <w:szCs w:val="24"/>
        </w:rPr>
        <w:t xml:space="preserve">, [1991-96 Regs. Preambles] F.E.R.C. Stats. &amp; Regs. at 31,751;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xml:space="preserve">, III F.E.R.C. Stats. &amp; Regs. at 30,253-54, perpetuation of network rights reduces the amount of transmission products and services that otherwise could be made available on secondary markets.  Consequently, at the very time that deregulatory reforms are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 xml:space="preserve">increasing power consumers’ exposure to price volatility, secondary markets remain thin and ineffective as price risk-management tools because of the existence of network service.  </w:t>
      </w:r>
      <w:r>
        <w:rPr>
          <w:rFonts w:eastAsia="Times New Roman" w:cs="Times New Roman" w:ascii="Times New Roman" w:hAnsi="Times New Roman"/>
          <w:i/>
          <w:iCs/>
          <w:color w:val="000000"/>
          <w:sz w:val="24"/>
          <w:szCs w:val="24"/>
        </w:rPr>
        <w:t>CRT NOPR</w:t>
      </w:r>
      <w:r>
        <w:rPr>
          <w:rFonts w:eastAsia="Times New Roman" w:cs="Times New Roman" w:ascii="Times New Roman" w:hAnsi="Times New Roman"/>
          <w:color w:val="000000"/>
          <w:sz w:val="24"/>
          <w:szCs w:val="24"/>
        </w:rPr>
        <w:t xml:space="preserve">, IV F.E.R.C. at 33,229.  Second, the Commission recognized that the ultimate goal of unbundling transmission from generation services cannot be fully realized under load-based network service for the simple reason that such transmission rights do not exist independent of load.  By contrast, generation and transmission services are reserved and used independently under a CRT regimen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 xml:space="preserve">i.e., </w:t>
      </w:r>
      <w:r>
        <w:rPr>
          <w:rFonts w:eastAsia="Times New Roman" w:cs="Times New Roman" w:ascii="Times New Roman" w:hAnsi="Times New Roman"/>
          <w:color w:val="000000"/>
          <w:sz w:val="24"/>
          <w:szCs w:val="24"/>
        </w:rPr>
        <w:t xml:space="preserve">reservations for flexible grid use, including interface capacity, could be held independently of load.  </w:t>
      </w:r>
      <w:r>
        <w:rPr>
          <w:rFonts w:eastAsia="Times New Roman" w:cs="Times New Roman" w:ascii="Times New Roman" w:hAnsi="Times New Roman"/>
          <w:i/>
          <w:iCs/>
          <w:color w:val="000000"/>
          <w:sz w:val="24"/>
          <w:szCs w:val="24"/>
        </w:rPr>
        <w:t>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We are not here recommending that the Commission embrace the transmission service offering that was contemplated in the CRT NOPR.  While that service had many desirable attributes, it suffered from a fatal design defect.  Under the CRT approach,  a customer’s capacity reservation would be </w:t>
      </w:r>
      <w:r>
        <w:rPr>
          <w:rFonts w:eastAsia="Times New Roman" w:cs="Times New Roman" w:ascii="Times New Roman" w:hAnsi="Times New Roman"/>
          <w:i/>
          <w:iCs/>
          <w:color w:val="000000"/>
          <w:sz w:val="24"/>
          <w:szCs w:val="24"/>
        </w:rPr>
        <w:t xml:space="preserve">the higher of </w:t>
      </w:r>
      <w:r>
        <w:rPr>
          <w:rFonts w:eastAsia="Times New Roman" w:cs="Times New Roman" w:ascii="Times New Roman" w:hAnsi="Times New Roman"/>
          <w:color w:val="000000"/>
          <w:sz w:val="24"/>
          <w:szCs w:val="24"/>
        </w:rPr>
        <w:t>either (1) the sum of the reservations at all receipt points or (2) the sum of the reservations at all delivery points.  This focus on capacity reserved at points of receipt or delivery drew opposition from many industry participants who correctly believed that such an approach would require reservation of untold numbers of receipt and delivery points, at enormous expense, in order to replicate the flexibility of network-like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The conceptual error in the CRT proposal lay in its requirement that transmission users reserve points and paths rather than reserve rights to constrained interfaces.  In the absence of constraints, there is no need to confine transmission customers to the inflexibility of reserved points.  Instead, all transmission users should enjoy network access where there are no constraints.  Reservations should be required only to overcome constraints as needed to assure that firm service is firm.  That assurance, in turn, only requires that rights to congested interfaces be reserved.  Only customers requiring firm rights across constraining interfaces on a firm basis should need to reserve such rights.</w:t>
      </w:r>
      <w:r>
        <w:rPr>
          <w:rStyle w:val="FootnoteReference"/>
        </w:rPr>
        <w:footnoteReference w:id="24"/>
      </w:r>
      <w:r>
        <w:rPr>
          <w:rFonts w:eastAsia="Times New Roman" w:cs="Times New Roman" w:ascii="Times New Roman" w:hAnsi="Times New Roman"/>
          <w:color w:val="000000"/>
          <w:sz w:val="24"/>
          <w:szCs w:val="24"/>
        </w:rPr>
        <w:t xml:space="preserve">  Like the CRT, the rights proposed here should overcome the deficiencies of the current transmission service offerings.  Nominations for capacity reservations would be accepted if the transmission provider could reliably accommodate the nominations without infringing upon other firm reservations.  Holders of the rights would have the option of scheduling less than their full reservation and reassigning their rights in whole or in part to other entities eligible to take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Commission already has approved a reservation-based  service offering by Florida Power Corp. (“FPC”), in addition to point-to-point and network service under FPC’s tariff.  That service, known as network contract demand or NCD,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differs from point-to-point service . . .  in the following respects: (1) each point of receipt is not treated as a separate reservation for point-to-point service; [and] (2) customers may use alternate points of receipt on a nonfirm basis with a service priority above all other nonfirm uses (equivalent to the rights accorded network customers under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 .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differs from network service . . . in the following respects: (1) the output of network resources is not limited to the amount of the customers’ designated loads; (2) charges are assessed on the basis of the contract reservation at the point of delivery rather than customer loads at those points; (3) service can be reassigned; (4) customers may use alternate points of delivery on a nonfirm basis up to the amount of the reservation (headroom); [and] (5) the transmission provider can use the service to make third-party sales . .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Florida Power Corp.</w:t>
      </w:r>
      <w:r>
        <w:rPr>
          <w:rFonts w:eastAsia="Times New Roman" w:cs="Times New Roman" w:ascii="Times New Roman" w:hAnsi="Times New Roman"/>
          <w:color w:val="000000"/>
          <w:sz w:val="24"/>
          <w:szCs w:val="24"/>
        </w:rPr>
        <w:t>, 81 F.E.R.C. ¶ 61,247 at 62,065 (1997).  With certain modifications, the NCD service could serve as a model for a reservation-based transmission offering in the rulemaking requested here.  Those modifications would include making the reservation-based service the exclusive basis for all transmission uses and not simply an addition to other reservation or load-based services.  Further, unlike the FPC proposal, the service would be the industry standard, available across all transmission systems.</w:t>
      </w:r>
      <w:r>
        <w:rPr>
          <w:rStyle w:val="FootnoteReference"/>
        </w:rPr>
        <w:footnoteReference w:id="25"/>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B.</w:t>
        <w:tab/>
        <w:t>OASIS Must Become the Common Vehicle for Obtaining Information on, and Determining, Disseminating and Reserving ATC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As originally envisioned in Order No. 889, OASIS (including the Standards of Conduct) was to be the showroom of nondiscriminatory open-access transmission.  It was to be the place to go to find out what was offered for sale --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ATC -- on an open-access basis.  It was also to be the place to go to reserve ATC, determine the need for and commit to finance ATC expansion, or simply get in the queue for future ATC consistent with the Commission’s open-access rules.  </w:t>
      </w:r>
      <w:r>
        <w:rPr>
          <w:rFonts w:eastAsia="Times New Roman" w:cs="Times New Roman" w:ascii="Times New Roman" w:hAnsi="Times New Roman"/>
          <w:i/>
          <w:iCs/>
          <w:color w:val="000000"/>
          <w:sz w:val="24"/>
          <w:szCs w:val="24"/>
        </w:rPr>
        <w:t xml:space="preserve">Order No. 889, </w:t>
      </w:r>
      <w:r>
        <w:rPr>
          <w:rFonts w:eastAsia="Times New Roman" w:cs="Times New Roman" w:ascii="Times New Roman" w:hAnsi="Times New Roman"/>
          <w:color w:val="000000"/>
          <w:sz w:val="24"/>
          <w:szCs w:val="24"/>
        </w:rPr>
        <w:t xml:space="preserve">[1991-96 Regs. Preambles] F.E.R.C. at 31,604-09; </w:t>
      </w:r>
      <w:r>
        <w:rPr>
          <w:rFonts w:eastAsia="Times New Roman" w:cs="Times New Roman" w:ascii="Times New Roman" w:hAnsi="Times New Roman"/>
          <w:i/>
          <w:iCs/>
          <w:color w:val="000000"/>
          <w:sz w:val="24"/>
          <w:szCs w:val="24"/>
        </w:rPr>
        <w:t>Real-Time Information Networks and Standards of Conduct, Notice of Proposed Rulemaking</w:t>
      </w:r>
      <w:r>
        <w:rPr>
          <w:rFonts w:eastAsia="Times New Roman" w:cs="Times New Roman" w:ascii="Times New Roman" w:hAnsi="Times New Roman"/>
          <w:color w:val="000000"/>
          <w:sz w:val="24"/>
          <w:szCs w:val="24"/>
        </w:rPr>
        <w:t>, IV F.E.R.C. ¶ 32,516 at 33,177 (1995).  It is essential to nondiscriminatory open access that OASIS (or other public information venues) provide these services accurately and in a timely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Currently, OASIS nodes are neither accurate nor timely; as a result, access is less than open and nondiscriminatory.</w:t>
      </w:r>
      <w:r>
        <w:rPr>
          <w:rStyle w:val="FootnoteReference"/>
        </w:rPr>
        <w:footnoteReference w:id="26"/>
      </w:r>
      <w:r>
        <w:rPr>
          <w:rFonts w:eastAsia="Times New Roman" w:cs="Times New Roman" w:ascii="Times New Roman" w:hAnsi="Times New Roman"/>
          <w:color w:val="000000"/>
          <w:sz w:val="24"/>
          <w:szCs w:val="24"/>
        </w:rPr>
        <w:t xml:space="preserve">  Indeed, posted ATC is almost universally unreliable.</w:t>
      </w:r>
      <w:r>
        <w:rPr>
          <w:rStyle w:val="FootnoteReference"/>
        </w:rPr>
        <w:footnoteReference w:id="27"/>
      </w:r>
      <w:r>
        <w:rPr>
          <w:rFonts w:eastAsia="Times New Roman" w:cs="Times New Roman" w:ascii="Times New Roman" w:hAnsi="Times New Roman"/>
          <w:color w:val="000000"/>
          <w:sz w:val="24"/>
          <w:szCs w:val="24"/>
        </w:rPr>
        <w:t xml:space="preserve">  Certain utilities for instance, still do not post requests or transactions on behalf of wholesale native load, despite the Commission’s clear and oft-repeated insistence that comparability demands they be posted.</w:t>
      </w:r>
      <w:r>
        <w:rPr>
          <w:rStyle w:val="FootnoteReference"/>
        </w:rPr>
        <w:footnoteReference w:id="28"/>
      </w:r>
      <w:r>
        <w:rPr>
          <w:rFonts w:eastAsia="Times New Roman" w:cs="Times New Roman" w:ascii="Times New Roman" w:hAnsi="Times New Roman"/>
          <w:color w:val="000000"/>
          <w:sz w:val="24"/>
          <w:szCs w:val="24"/>
        </w:rPr>
        <w:t xml:space="preserve">  Moreover, operators routinely neglect to post “grandfathered” transactions, a category that frequently accounts for most of the committed capacity on congested interfaces.  Petitioners are also unaware of a single OASIS node that fully complies with the requirement to post the availability of hourly firm service.  Instead, some operators make their initial ATC determination on a daily basis (with only sporadic updates), while others post a single presumptive value for the month:  Both practices can only lead to substantial underreporting.  Worse, when transmission customers arrange transactions in reliance on ostensibly up-to-date postings, it is not uncommon to learn when reserving that the capacity is not actually available, either because it never was, or because it was used for an economy transaction for captive load and not disclosed on OASIS.  (Often at such a point, contracts have already been signed and substantial time has been invested by the parties.)  Whether the ATC information was actually reported in error, posted in error, or the transmission provider improperly absconded with the capacity is an open question in these instances.</w:t>
      </w:r>
      <w:r>
        <w:rPr>
          <w:rStyle w:val="FootnoteReference"/>
        </w:rPr>
        <w:footnoteReference w:id="29"/>
      </w:r>
      <w:r>
        <w:rPr>
          <w:rFonts w:eastAsia="Times New Roman" w:cs="Times New Roman" w:ascii="Times New Roman" w:hAnsi="Times New Roman"/>
          <w:color w:val="000000"/>
          <w:sz w:val="24"/>
          <w:szCs w:val="24"/>
        </w:rPr>
        <w:t xml:space="preserve">  Whatever the cause, uncertainty and confusion over ATC increases the expense and risk of every transaction and ultimately may prevent new market entrants from being able to build a reputation for reliable delivery.  The dismal state of OASIS is unlikely to improve so long as most vertically integrated utilities do not have to depend on OASIS for the majority of their uses of the transmission system and thus have no incentive to improve its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What is required now is to implement the simple information and reservation functions of OASIS in a manner that achieves the goal of providing current and future customers of open-access transmission service uniform and easily understandable information “about available transmission capacity prices, and other information that will enable them to obtain open-access, non-discriminatory transmission service.”  </w:t>
      </w:r>
      <w:r>
        <w:rPr>
          <w:rFonts w:eastAsia="Times New Roman" w:cs="Times New Roman" w:ascii="Times New Roman" w:hAnsi="Times New Roman"/>
          <w:i/>
          <w:iCs/>
          <w:color w:val="000000"/>
          <w:sz w:val="24"/>
          <w:szCs w:val="24"/>
        </w:rPr>
        <w:t>Order No. 889</w:t>
      </w:r>
      <w:r>
        <w:rPr>
          <w:rFonts w:eastAsia="Times New Roman" w:cs="Times New Roman" w:ascii="Times New Roman" w:hAnsi="Times New Roman"/>
          <w:color w:val="000000"/>
          <w:sz w:val="24"/>
          <w:szCs w:val="24"/>
        </w:rPr>
        <w:t>, [1991-96 Regs. Preambles] F.E.R.C. at 31,585-3.</w:t>
      </w:r>
      <w:r>
        <w:rPr>
          <w:rStyle w:val="FootnoteReference"/>
        </w:rPr>
        <w:footnoteReference w:id="30"/>
      </w:r>
      <w:r>
        <w:rPr>
          <w:rFonts w:eastAsia="Times New Roman" w:cs="Times New Roman" w:ascii="Times New Roman" w:hAnsi="Times New Roman"/>
          <w:color w:val="000000"/>
          <w:sz w:val="24"/>
          <w:szCs w:val="24"/>
        </w:rPr>
        <w:t xml:space="preserve">  OASIS performance is unlikely to improve so long as it is only non-transmission owners -- typically new market entrants -- that must rely on the OASIS.  Until all users of the transmission grid are comparably dependent on the OASIS for obtaining ATC and price information and for reserving capacity, the quality of OASIS performance is unlikely to improve.  Because vertically integrated transmission owners are able to obtain transmission capacity independent of OASIS, they have no incentive to ensure that OASIS is functioning appropriately.  Indeed, to gain a competitive advantage over those who are dependent on the timeliness and accuracy of OASIS, vertically integrated transmission owners have an incentive to make OASIS as slow and uninformative as possible.</w:t>
      </w:r>
      <w:r>
        <w:rPr>
          <w:rStyle w:val="FootnoteReference"/>
        </w:rPr>
        <w:footnoteReference w:id="31"/>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6"/>
          <w:szCs w:val="26"/>
        </w:rPr>
        <w:t>C.</w:t>
        <w:tab/>
      </w:r>
      <w:r>
        <w:rPr>
          <w:rFonts w:eastAsia="Times New" w:cs="Times New" w:ascii="Times New" w:hAnsi="Times New"/>
          <w:b/>
          <w:bCs/>
          <w:i/>
          <w:iCs/>
          <w:color w:val="000000"/>
          <w:sz w:val="26"/>
          <w:szCs w:val="26"/>
        </w:rPr>
        <w:t>System Operators Must Be Directed to Improve How They Determine Available Firm Capacity and Stop Relying on Curtailments to Manage Line Loading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w:hAnsi="Times New" w:eastAsia="Times New" w:cs="Times New"/>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division of open-access service between load-based network and reservation-based point-to-point service, together with the fact that network uses of the transmission system are generally not dependent on OASIS for ATC information and reserving ATC, combine to countenance, if not encourage, system operators to manage line loading on the inefficient basis of interrupting or curtailing already reserved transactions rather than on the basis of granting or denying reservations in the first instance in accordance with accurate ATC information.  In connection with the rulemaking proposed here, Petitioners urge the Commission to take action to ensure that a system operator’s incentive is to make maximum reliable use of transmission systems through informed reservations and redispatch as opposed to oversubscribing the system and thereafter managing the resulting overloading of lines through curtailment.  In individual decisions, the Commission has taken steps in this direction by admonishing transmission providers that they are responsible for accurately assessing the adequacy of ATC at the time a request for service is received.  </w:t>
      </w:r>
      <w:r>
        <w:rPr>
          <w:rFonts w:eastAsia="Times New Roman" w:cs="Times New Roman" w:ascii="Times New Roman" w:hAnsi="Times New Roman"/>
          <w:i/>
          <w:iCs/>
          <w:color w:val="000000"/>
          <w:sz w:val="24"/>
          <w:szCs w:val="24"/>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e.g., Madison Gas &amp; Electric Co. v. Wisconsin Power &amp; Light Co.</w:t>
      </w:r>
      <w:r>
        <w:rPr>
          <w:rFonts w:eastAsia="Times New Roman" w:cs="Times New Roman" w:ascii="Times New Roman" w:hAnsi="Times New Roman"/>
          <w:color w:val="000000"/>
          <w:sz w:val="24"/>
          <w:szCs w:val="24"/>
        </w:rPr>
        <w:t>, 80 F.E.R.C. ¶ 61,331, (1997) (must accurately assess ATC before canceling reservations that are still conditional).  This must be the industry-wide standard.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As noted above, load-based uses of the transmission grid, such as network service, make it difficult, if not impossible, for the system operator (or control area operator) to determine and disseminate accurate and timely ATC information.  In addition, because the majority of network uses associated with the vertically integrated transmission provider’s captive load are not dependent on OASIS to obtain transmission capacity,</w:t>
      </w:r>
      <w:r>
        <w:rPr>
          <w:rStyle w:val="FootnoteReference"/>
        </w:rPr>
        <w:footnoteReference w:id="32"/>
      </w:r>
      <w:r>
        <w:rPr>
          <w:rFonts w:eastAsia="Times New Roman" w:cs="Times New Roman" w:ascii="Times New Roman" w:hAnsi="Times New Roman"/>
          <w:color w:val="000000"/>
          <w:sz w:val="24"/>
          <w:szCs w:val="24"/>
        </w:rPr>
        <w:t xml:space="preserve"> OASIS node operators that are vertically integrated utilities have little incentive to make the ATC determination and reservation process work efficiently; even where the node operator is a third-party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an ISO or TransCo</w:t>
      </w:r>
      <w:r>
        <w:rPr>
          <w:rStyle w:val="FootnoteReference"/>
        </w:rPr>
        <w:footnoteReference w:id="33"/>
      </w:r>
      <w:r>
        <w:rPr>
          <w:rFonts w:eastAsia="Times New Roman" w:cs="Times New Roman" w:ascii="Times New Roman" w:hAnsi="Times New Roman"/>
          <w:color w:val="000000"/>
          <w:sz w:val="24"/>
          <w:szCs w:val="24"/>
        </w:rPr>
        <w:t xml:space="preserve">) or other regional entity, it is under no pressure from the system’s largest users -- the vertically integrated utilities -- to make the ATC and reservation process accurate and timely.  These factors deprive the system operator of sufficiently accurate and timely information to make informed decisions on whether to accept, deny or condition transmission reservation requests in the first instance.  The system operator is, in effect, forced to operate the system and manage line loading, not through accurate and reliable reservation, but rather through curtailing or otherwise interrupting complete transactions.  This result can also be brought on by power pool and coordination agreements that make the pool or coordinator responsible for assembling and disseminating ATC and for implementing line loading relief, but </w:t>
      </w:r>
      <w:r>
        <w:rPr>
          <w:rFonts w:eastAsia="Times New Roman" w:cs="Times New Roman" w:ascii="Times New Roman" w:hAnsi="Times New Roman"/>
          <w:i/>
          <w:iCs/>
          <w:color w:val="000000"/>
          <w:sz w:val="24"/>
          <w:szCs w:val="24"/>
        </w:rPr>
        <w:t xml:space="preserve">do not empower </w:t>
      </w:r>
      <w:r>
        <w:rPr>
          <w:rFonts w:eastAsia="Times New Roman" w:cs="Times New Roman" w:ascii="Times New Roman" w:hAnsi="Times New Roman"/>
          <w:color w:val="000000"/>
          <w:sz w:val="24"/>
          <w:szCs w:val="24"/>
        </w:rPr>
        <w:t>the pool or coordinator to ensure the accuracy of the ATC data provided to it or to arrange for dispatch resources to avert curtailments or interruptions.</w:t>
      </w:r>
      <w:r>
        <w:rPr>
          <w:rStyle w:val="FootnoteReference"/>
        </w:rPr>
        <w:footnoteReference w:id="34"/>
      </w:r>
      <w:r>
        <w:rPr>
          <w:rFonts w:eastAsia="Times New Roman" w:cs="Times New Roman" w:ascii="Times New Roman" w:hAnsi="Times New Roman"/>
          <w:color w:val="000000"/>
          <w:sz w:val="24"/>
          <w:szCs w:val="24"/>
        </w:rPr>
        <w:t xml:space="preserve">  In the requested rulemaking, Petitioners ask the Commission to consolidate the responsibility for determining ATC with the ability to maximize ATC and minimize curtailments through redispatch.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Rather than responding to the </w:t>
      </w:r>
      <w:r>
        <w:rPr>
          <w:rFonts w:eastAsia="Times New Roman" w:cs="Times New Roman" w:ascii="Times New Roman" w:hAnsi="Times New Roman"/>
          <w:i/>
          <w:iCs/>
          <w:color w:val="000000"/>
          <w:sz w:val="24"/>
          <w:szCs w:val="24"/>
        </w:rPr>
        <w:t>status quo</w:t>
      </w:r>
      <w:r>
        <w:rPr>
          <w:rFonts w:eastAsia="Times New Roman" w:cs="Times New Roman" w:ascii="Times New Roman" w:hAnsi="Times New Roman"/>
          <w:color w:val="000000"/>
          <w:sz w:val="24"/>
          <w:szCs w:val="24"/>
        </w:rPr>
        <w:t xml:space="preserve"> by seeking to change the system operators’ incentives, vertically integrated transmission owners and other important sectors of the industry appear to be embracing management through curtailment and imposing on the industry new rules to facilitate management through curtailment.  Illustrative is the Transaction Information Reservation and Scheduling (referred to as “tagging”) rule that the NERC has recently sought to impose unilaterally as a precondition for scheduling transmission for all  interchange transactions.  As it has been implemented by many utilities, tagging requires a transmission customer to identify every transfer of title to a unit of power between the generator and the final sale for resale as a precondition to scheduling transmission service for that transaction.  The fact is that reliable operation of the transmission grid only requires that the system operator know the control area of the source and the control area of the sink, and not every title transaction in between.  Nevertheless, NERC and some of its members are encouraging utilities to persist in requiring tagging, not because it is important to reliability, but rather because it provides the system operator with a convenient and easy way to identify and prioritize transactions not involving transmission owners’ captive customers.  The system operator is then directed to curtail tagged interchange transactions as its preferred (or possibly only available) mechanism for managing line loading.</w:t>
      </w:r>
      <w:r>
        <w:rPr>
          <w:rStyle w:val="FootnoteReference"/>
        </w:rPr>
        <w:footnoteReference w:id="35"/>
      </w:r>
      <w:r>
        <w:rPr>
          <w:rFonts w:eastAsia="Times New Roman" w:cs="Times New Roman" w:ascii="Times New Roman" w:hAnsi="Times New Roman"/>
          <w:color w:val="000000"/>
          <w:sz w:val="24"/>
          <w:szCs w:val="24"/>
        </w:rPr>
        <w:t xml:space="preserve">  Not only is this practice highly inefficient, it also has the highly objectionable effect of making firm service less than firm.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D.</w:t>
        <w:tab/>
        <w:t>Hourly Firm Service Can and Should Be Made Mandatory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minimum duration firm point-to-point service that must currently be made available under Order No. 888 is daily. </w:t>
      </w:r>
      <w:r>
        <w:rPr>
          <w:rFonts w:eastAsia="Times New Roman" w:cs="Times New Roman" w:ascii="Times New Roman" w:hAnsi="Times New Roman"/>
          <w:i/>
          <w:iCs/>
          <w:color w:val="000000"/>
          <w:sz w:val="24"/>
          <w:szCs w:val="24"/>
        </w:rPr>
        <w:t>Order No. 888</w:t>
      </w:r>
      <w:r>
        <w:rPr>
          <w:rFonts w:eastAsia="Times New Roman" w:cs="Times New Roman" w:ascii="Times New Roman" w:hAnsi="Times New Roman"/>
          <w:color w:val="000000"/>
          <w:sz w:val="24"/>
          <w:szCs w:val="24"/>
        </w:rPr>
        <w:t>, 61 Fed. Reg. at 21,711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 13.1).  Hourly service is not currently required to be offered under the open-access tariff.  This is both discriminatory and unwise.  Whether it be within the current context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open-access tariff or under a flow-based network tariff, comparability principles demand that a competitive market for hourly trades be allowed to develop through the mandatory offering of hourly firm transmission and ancillary services one-day ahead.  Transmission providers schedule and take hourly firm services on behalf of their bundled captive loads.  Service comparability requires that hourly services be available to all eligible transmission customers.  Moreover, if the Commission authorizes proposals to introduce day-ahead, hourly, or possibly shorter-period spot-market trading --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xml:space="preserve">., the pending proposals for the Pennsylvania-New Jersey-Maryland Interconnection, New York and New England power pools -- it will be impossible for a non-transmission-owning transmission customer to purchase transmission service proportionate to its sales into that type of an hourly market. </w:t>
        <w:tab/>
        <w:t xml:space="preserve">Within power pools and other coordination agreements for economy transactions, utilities can trade power on an hourly basis.  These trades can be highly beneficial for all parties involved.  By not requiring hourly transmission service under the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tariff, however, the </w:t>
      </w:r>
      <w:r>
        <w:rPr>
          <w:rFonts w:eastAsia="Times New Roman" w:cs="Times New Roman" w:ascii="Times New Roman" w:hAnsi="Times New Roman"/>
          <w:i/>
          <w:iCs/>
          <w:color w:val="000000"/>
          <w:sz w:val="24"/>
          <w:szCs w:val="24"/>
        </w:rPr>
        <w:t>status quo</w:t>
      </w:r>
      <w:r>
        <w:rPr>
          <w:rFonts w:eastAsia="Times New Roman" w:cs="Times New Roman" w:ascii="Times New Roman" w:hAnsi="Times New Roman"/>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effectively permits only incumbent utilities to participate in hourly markets for physical delivery.  That result cannot be squared with service comparability.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The Commission has explained its decision not to require the offering of hourly firm service on the</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 xml:space="preserve">ground that market participants would have an incentive to reserve and hoard all of the most valuable peak-hour capacity.  </w:t>
      </w:r>
      <w:r>
        <w:rPr>
          <w:rFonts w:eastAsia="Times New Roman" w:cs="Times New Roman" w:ascii="Times New Roman" w:hAnsi="Times New Roman"/>
          <w:i/>
          <w:iCs/>
          <w:color w:val="000000"/>
          <w:sz w:val="24"/>
          <w:szCs w:val="24"/>
        </w:rPr>
        <w:t>Order No. 888</w:t>
      </w:r>
      <w:r>
        <w:rPr>
          <w:rFonts w:eastAsia="Times New Roman" w:cs="Times New Roman" w:ascii="Times New Roman" w:hAnsi="Times New Roman"/>
          <w:color w:val="000000"/>
          <w:sz w:val="24"/>
          <w:szCs w:val="24"/>
        </w:rPr>
        <w:t xml:space="preserve">, [1991-96 Regs. Preambles] F.E.R.C. Stats. &amp; Regs. at 31,752; </w:t>
      </w:r>
      <w:r>
        <w:rPr>
          <w:rFonts w:eastAsia="Times New Roman" w:cs="Times New Roman" w:ascii="Times New Roman" w:hAnsi="Times New Roman"/>
          <w:i/>
          <w:iCs/>
          <w:color w:val="000000"/>
          <w:sz w:val="24"/>
          <w:szCs w:val="24"/>
        </w:rPr>
        <w:t>Order No. 888-A</w:t>
      </w:r>
      <w:r>
        <w:rPr>
          <w:rFonts w:eastAsia="Times New Roman" w:cs="Times New Roman" w:ascii="Times New Roman" w:hAnsi="Times New Roman"/>
          <w:color w:val="000000"/>
          <w:sz w:val="24"/>
          <w:szCs w:val="24"/>
        </w:rPr>
        <w:t>, III F.E.R.C. Stats &amp; Regs at 30,303.  This concern should be reconsidered.  Hourly rights are reserved under the present system, but on a daily basis, and a significant portion of these rights are simply not used during off-peak hours.  Requiring market participants to purchase 24 hours of service to obtain firm capacity for only few hours of actual use causes more problems than it is intended to solve.  First, it deprives the marketplace of information on the demand for and value of capacity during specific hours.  Second, during many off-peak hours, this practice removes capacity that might otherwise be available on a firm basis to dispatchable loads.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Further, as more and more states and local governments remove limitations on retail competition, the need for hourly service will increase.  Many of these retail loads will be served by load aggregators or, as proposed for California, scheduling coordinators.  These aggregators must have access to hourly firm service in order to manage flexibly and economically the combinations of generating units and purchased power that they will use to provide retail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the requested rulemaking, the Commission should expand minimum transmission service offerings to include hourly firm service on at least a day-ahead, if not shorter, basis.  Offering transmission service in this manner will facilitate an efficient hourly market, while at the same time obviating concerns over hoarding.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6"/>
          <w:szCs w:val="26"/>
        </w:rPr>
      </w:pPr>
      <w:r>
        <w:rPr/>
      </w:r>
    </w:p>
    <w:p>
      <w:pPr>
        <w:pStyle w:val="Normal"/>
        <w:numPr>
          <w:ilvl w:val="1"/>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720" w:start="144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 xml:space="preserve">All Transmission Customers Should Enjoy the Same Reservation and Scheduling Flexibility that Vertically Integrated Utilities Enjoy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When vertically integrated utilities and other current network customers use the transmission system, they are not burdened by costly and cumbersome scheduling chores that are routinely imposed on new entrants by many, if not most, transmission providers.  First, they are allowed to pool all on-system and off-system generating resources and are not forced to designate a fictional path between each off-system source of power and each on-system delivery point.  Second, they are allowed to batch transactions for both scheduling and accounting purposes and are not compelled to reserve, schedule and account for each transaction separately.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b/>
          <w:bCs/>
          <w:i/>
          <w:iCs/>
          <w:color w:val="000000"/>
          <w:sz w:val="24"/>
          <w:szCs w:val="24"/>
        </w:rPr>
        <w:t>1.</w:t>
        <w:tab/>
        <w:t>Comparability requires that all transmission customers be able to pool external generating resources for deliveries into the transmission provider’s system.</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 xml:space="preserve">Vertically integrated utilities today do not declare the path of energy flows from each generating unit to each point of consumption within or outside of their system.  Instead, they pool their generation; so long as resources and loads are simultaneously balanced, the transmission system works to provide the vertically integrated system owner flexible and reliable service.  Likewise, other utilities with load are provided the same flexibility to pool internal and external generating resources through the Network Integration Transmission Service of the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transmission tariff.  </w:t>
      </w:r>
      <w:r>
        <w:rPr>
          <w:rFonts w:eastAsia="Times New Roman" w:cs="Times New Roman" w:ascii="Times New Roman" w:hAnsi="Times New Roman"/>
          <w:i/>
          <w:iCs/>
          <w:color w:val="000000"/>
          <w:sz w:val="24"/>
          <w:szCs w:val="24"/>
        </w:rPr>
        <w:t xml:space="preserve">See </w:t>
      </w:r>
      <w:r>
        <w:rPr>
          <w:rFonts w:eastAsia="Times New Roman" w:cs="Times New Roman" w:ascii="Times New Roman" w:hAnsi="Times New Roman"/>
          <w:color w:val="000000"/>
          <w:sz w:val="24"/>
          <w:szCs w:val="24"/>
        </w:rPr>
        <w:t xml:space="preserve">Pro Forma </w:t>
      </w:r>
      <w:r>
        <w:rPr>
          <w:rFonts w:eastAsia="Times New Roman" w:cs="Times New Roman" w:ascii="Times New Roman" w:hAnsi="Times New Roman"/>
          <w:i/>
          <w:iCs/>
          <w:color w:val="000000"/>
          <w:sz w:val="24"/>
          <w:szCs w:val="24"/>
        </w:rPr>
        <w:t>Trans. Tariff</w:t>
      </w:r>
      <w:r>
        <w:rPr>
          <w:rFonts w:eastAsia="Times New Roman" w:cs="Times New Roman" w:ascii="Times New Roman" w:hAnsi="Times New Roman"/>
          <w:color w:val="000000"/>
          <w:sz w:val="24"/>
          <w:szCs w:val="24"/>
        </w:rPr>
        <w:t xml:space="preserve"> § 30.  It is only new entrants -- eligible only for point-to-point service -- that are denied the flexibility of pooling or aggregating external power resources for import into the transmission provider’s system.  </w:t>
      </w:r>
      <w:r>
        <w:rPr>
          <w:rFonts w:eastAsia="Times New Roman" w:cs="Times New Roman" w:ascii="Times New Roman" w:hAnsi="Times New Roman"/>
          <w:i/>
          <w:iCs/>
          <w:color w:val="000000"/>
          <w:sz w:val="24"/>
          <w:szCs w:val="24"/>
        </w:rPr>
        <w:t xml:space="preserve">Id. </w:t>
      </w:r>
      <w:r>
        <w:rPr>
          <w:rFonts w:eastAsia="Times New Roman" w:cs="Times New Roman" w:ascii="Times New Roman" w:hAnsi="Times New Roman"/>
          <w:color w:val="000000"/>
          <w:sz w:val="24"/>
          <w:szCs w:val="24"/>
        </w:rPr>
        <w:t>§13.7.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ability to pool all resources for scheduling purposes is essential to a new entrant’s ability to compete with vertically integrated utilities and those eligible for network service.  In Order No. 636, the Commission recognized the importance of pooling for purposes of reserving and scheduling natural gas transportation service.  </w:t>
      </w:r>
      <w:r>
        <w:rPr>
          <w:rFonts w:eastAsia="Times New Roman" w:cs="Times New Roman" w:ascii="Times New Roman" w:hAnsi="Times New Roman"/>
          <w:i/>
          <w:iCs/>
          <w:color w:val="000000"/>
          <w:sz w:val="24"/>
          <w:szCs w:val="24"/>
        </w:rPr>
        <w:t xml:space="preserve">See Order No. 636, </w:t>
      </w:r>
      <w:r>
        <w:rPr>
          <w:rFonts w:eastAsia="Times New Roman" w:cs="Times New Roman" w:ascii="Times New Roman" w:hAnsi="Times New Roman"/>
          <w:color w:val="000000"/>
          <w:sz w:val="24"/>
          <w:szCs w:val="24"/>
        </w:rPr>
        <w:t>[1991-96 Regs. Preambles] F.E.R.C. at 30,427-29.  Flexible pooling is even more essential in the electric power industry where the sources of generation are widely dispersed and not concentrated as is natural gas in a handful of producing areas.  Moreover, the benefits of pooling are obvious.  It eliminates the administrative burden and not insignificant transaction cost of pairing each megawatt of power received at each receipt point with each megawatt of power delivered at each delivery point.  The fact that certain transmission providers have offered nondiscriminatory pooling or aggregation services demonstrates that there are no operational reasons for withholding external resource pooling opportunities from new entrants.</w:t>
      </w:r>
      <w:r>
        <w:rPr>
          <w:rStyle w:val="FootnoteReference"/>
        </w:rPr>
        <w:footnoteReference w:id="36"/>
      </w:r>
      <w:r>
        <w:rPr>
          <w:rFonts w:eastAsia="Times New Roman" w:cs="Times New Roman" w:ascii="Times New Roman" w:hAnsi="Times New Roman"/>
          <w:color w:val="000000"/>
          <w:sz w:val="24"/>
          <w:szCs w:val="24"/>
        </w:rPr>
        <w:t xml:space="preserve">  Accordingly, the Commission should change the existing tariff rules to ensure that all transmission customers, including new entrants, are equally able to pool power from multiple generating resources, internal and external, for delivery to various market areas, without the need to match each receipt and points of delivery.  Petitioners recognize that transmission users will still be required to schedule power at each receipt and delivery point, and that receipts must clear deliveries.  But transmission customers should not have to designate a fictional path between each scheduled receipt and a corresponding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b/>
          <w:bCs/>
          <w:i/>
          <w:iCs/>
          <w:color w:val="000000"/>
          <w:sz w:val="24"/>
          <w:szCs w:val="24"/>
        </w:rPr>
        <w:t>2.</w:t>
        <w:tab/>
        <w:t>All transmission customers should enjoy equally the ability to batch multiple transactions.</w:t>
      </w:r>
      <w:r>
        <w:rPr>
          <w:rFonts w:eastAsia="Times New Roman" w:cs="Times New Roman" w:ascii="Times New Roman" w:hAnsi="Times New Roman"/>
          <w:color w:val="000000"/>
          <w:sz w:val="24"/>
          <w:szCs w:val="24"/>
        </w:rPr>
        <w:t xml:space="preserve">  When vertically integrated utilities use the transmission system, they reserve and schedule directional capacity and not each and every transaction capable of using that reservation and schedule.  Rather, they have the option of assembling or “batching” resources and loads.  New entrants, dependent on point-to-point uses of transmission system, typically do not have this option.  In order to achieve service comparability, the Commission should now extend this flexibility to all transmission system users.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Consider a situation where a market participant has six transactions originating in the service territory of Utility A and crossing into the service territory of Utility B.  In order to reserve the needed capacity for these transactions, the market participant currently has to query the system operator six separate times; likewise, it ordinarily has to schedule each of these transactions separately.  These time-consuming exercises are both inefficient and unnecessary.  They are also discriminatory against new entrants, which are excluded under existing rules from eligibility for network service and are instead relegated to taking point-to-point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Commission should direct transmission system operators to permit the batching of transactions for both reservation and scheduling purposes.  In the example of six transactions originating in Utility A and flowing into Utility B, the transmission customer should be able to reserve and schedule all six transactions in a single batch, indicating the total amount of power that will cross the interface between the two systems.  This should be an option even if the power flowing under two of the six transactions continued beyond Utility B, for example, to Utility C.  Batching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transaction reservations and schedules across interfaces in this manner could dramatically reduce the transaction costs that point-to-point service currently imposes on the transmission system operator and customer and, at the same time, would empower market participants to dispatch multiple resources economically just as integrated utilities do.  Moreover, it would still provide the system operator with the information on aggregate schedules across interfaces that it needs in order to follow-load, determine ATC accurately and operate the grid reliably.</w:t>
      </w:r>
      <w:r>
        <w:rPr>
          <w:rStyle w:val="FootnoteReference"/>
        </w:rPr>
        <w:footnoteReference w:id="37"/>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IV.</w:t>
        <w:tab/>
        <w:t xml:space="preserve">CONSOLIDATION OF THE BALKANIZED GRID IS NEEDED TO ROOT OUT PERSISTENT DISCRIMINATION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In the rulemaking sought here, we urge the Commission to invoke its (and the Department of Energy’s) powers under FPA section 202(a), 16 U.S.C. § 824a(a) (1994), and PURPA section 205, 16 U.S.C. § 824a-1 (1994), to encourage the consolidation of regional transmission systems under a regional operating entity, properly structured and possessing incentives to maximize system reliability and throughput.</w:t>
      </w:r>
      <w:r>
        <w:rPr>
          <w:rStyle w:val="FootnoteReference"/>
        </w:rPr>
        <w:footnoteReference w:id="38"/>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 xml:space="preserve">Under the current system, a great number of transmission providers and control areas independently define and describe ATC and establish protocols for transmission system reservation and line-loading relief.  Independent actors acting independently to fulfill these responsibilities make little sense when it is recognized that these entities are not only interconnected, but are also interdependent; the decisions of any one necessarily limit the decisions that can be made by many others.  For example, where one transmission provider or control area is very conservative or simply inaccurate in its ATC determination across an interface, the low ATC value that it assigns can have the effect of reducing the ATC available to interconnected systems as well --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the low value becomes the common denominator for the region.  To encourage the regional consolidation of these functions, we urge the Commission to take every step available to prod transmission owners and operators to consolidate systems and control areas into regional ISOs, TransCos or any other appropriately constituted regional body.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Multiple independent operators of interconnected systems also result in suboptimal and, worse, discriminatory management of the grid.  This is apparent from the preoccupation of certain industry sectors with placing identification “tags” on interchange transactions together with line loading-relief protocols that target for curtailment only “tagged” interchange transactions.</w:t>
      </w:r>
      <w:r>
        <w:rPr>
          <w:rStyle w:val="FootnoteReference"/>
        </w:rPr>
        <w:footnoteReference w:id="39"/>
      </w:r>
      <w:r>
        <w:rPr>
          <w:rFonts w:eastAsia="Times New Roman" w:cs="Times New Roman" w:ascii="Times New Roman" w:hAnsi="Times New Roman"/>
          <w:color w:val="000000"/>
          <w:sz w:val="24"/>
          <w:szCs w:val="24"/>
        </w:rPr>
        <w:t xml:space="preserve">  In large part this focus on curtailing interchange transactions outright is attributable to the perspective of the single transmission provider acting independently.  From that narrow perspective, often the only apparent solution to an overloaded line may be to curtail or otherwise interrupt transactions.  If approached on a larger regional basis by a properly structured ISO or TransCo, however, it would be apparent that redispatching certain generators that voluntarily contract to redispatch their output, without curtailing any transactions, may offer the optimal solution to a loading problem.  This broader perspective is often lacking within the boundaries of a single utility or control area; as a consequence, many wholesale transactions are being curtailed unnecessarily and inefficiently.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A reduction in the number of transmission system coordinators will simplify, and could make more efficient, the physical process of operating the system, of determining ATC, scheduling, and managing line loading, so long as those coordinators are not affiliated with (vertically integrated) transmission owners.  System reliability also stands to be improved when fewer regional operating entities need to be called on to determine the viability of transactions over constraining interfaces.</w:t>
        <w:tab/>
        <w:t>Consolidation of at least the transmission system reliability functions within regions containing many control areas should be encouraged, so as to improve coordination across systems and ensure a more efficient and equitable operation of the region’s transmission systems.  As part of the platform on which a competitive power industry will stand, the Commission should establish rules requiring, at a minimum, that regional transmission providers and control areas jointly and consistently determine ATC, establish common procedures and deadlines for scheduling, and implement protocols for managing line loading and loading relief.</w:t>
      </w:r>
      <w:r>
        <w:rPr>
          <w:rStyle w:val="FootnoteReference"/>
        </w:rPr>
        <w:footnoteReference w:id="40"/>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V.</w:t>
        <w:tab/>
        <w:t>THE COMMISSION MUST ADDRESS THE REMAINING IMPEDIMENTS TO ACHIEVING A COMMERCIAL ELECTRICITY MARKET IN A FURTHER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AND NOT ABDICATE ITS RESPONSIBILITY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PRIVATE INTERESTS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 grids have become host to an increasing number and types of transactions.  While the physical structure of the industry -- transmission lines and the location of generators -- has not changed, the growing number of transactions occurring on that physical structure gives rise to demands for new operational protocols and accounting systems to understand and manage the operational and commercial interests in energy transactions.  In the rulemaking requested here, the Commission needs to take steps to ensure that putative limitations in physical metering and measurement systems not be used as a justification to inhibit commercial transactions.  In addition, financial accounting systems should not become so onerous as to compromise commercial undertakings.  The Commission must take control of the development of these accounting systems and not delegate this responsibility to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Order No. 888, the Commission has explained, did not codify contract paths and contract-path pricing.  Rather, it went on to encourage the industry “to explore . . . regional flow-based pricing proposals.”  </w:t>
      </w:r>
      <w:r>
        <w:rPr>
          <w:rFonts w:eastAsia="Times New Roman" w:cs="Times New Roman" w:ascii="Times New Roman" w:hAnsi="Times New Roman"/>
          <w:i/>
          <w:iCs/>
          <w:color w:val="000000"/>
          <w:sz w:val="24"/>
          <w:szCs w:val="24"/>
        </w:rPr>
        <w:t>See CRT NOPR</w:t>
      </w:r>
      <w:r>
        <w:rPr>
          <w:rFonts w:eastAsia="Times New Roman" w:cs="Times New Roman" w:ascii="Times New Roman" w:hAnsi="Times New Roman"/>
          <w:color w:val="000000"/>
          <w:sz w:val="24"/>
          <w:szCs w:val="24"/>
        </w:rPr>
        <w:t>, [Proposed Regs.] IV F.E.R.C. at 33,229.  Notwithstanding the Commission’s disclaimer to the contrary, various industry sectors continue to impose contract path-oriented operational requirements on the power industry.  These cumbersome requirements compromise development of competitive power markets.  Illustrative are the tagging procedures recently developed by NERC for the electronic scheduling of transactions.  NERC refers to this process as the interim Transaction Information System (“iTIS”).  According to NERC, iTIS provides a method for “tagging” all interchange transactions between a generation source and a load link.  On May 1, 1997, NERC approved a new NERC Operating Policy 3, App. E, which governs NERC’s tagging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Pursuant to Operating Policy 3, the NERC Operating Committee developed a tag template that uses an electronic spreadsheet for data entry and is intended to be used for all inter-control area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interchange) transmission transactions.  Again, on its unilateral initiative, NERC, in a July 14, 1997, press release, established implementation deadlines for introducing tagging, culminating August 18, 1997, by which time all interchange transactions that will begin after four hours are required to be tagged, using the non-Commission-approved tagging template.  The press release states that “[t]he Operating Committee </w:t>
      </w:r>
      <w:r>
        <w:rPr>
          <w:rFonts w:eastAsia="Times New Roman" w:cs="Times New Roman" w:ascii="Times New Roman" w:hAnsi="Times New Roman"/>
          <w:i/>
          <w:iCs/>
          <w:color w:val="000000"/>
          <w:sz w:val="24"/>
          <w:szCs w:val="24"/>
        </w:rPr>
        <w:t xml:space="preserve">expects </w:t>
      </w:r>
      <w:r>
        <w:rPr>
          <w:rFonts w:eastAsia="Times New Roman" w:cs="Times New Roman" w:ascii="Times New Roman" w:hAnsi="Times New Roman"/>
          <w:color w:val="000000"/>
          <w:sz w:val="24"/>
          <w:szCs w:val="24"/>
        </w:rPr>
        <w:t xml:space="preserve">all control areas and Security Coordinators to </w:t>
      </w:r>
      <w:r>
        <w:rPr>
          <w:rFonts w:eastAsia="Times New Roman" w:cs="Times New Roman" w:ascii="Times New Roman" w:hAnsi="Times New Roman"/>
          <w:i/>
          <w:iCs/>
          <w:color w:val="000000"/>
          <w:sz w:val="24"/>
          <w:szCs w:val="24"/>
        </w:rPr>
        <w:t xml:space="preserve">enforce </w:t>
      </w:r>
      <w:r>
        <w:rPr>
          <w:rFonts w:eastAsia="Times New Roman" w:cs="Times New Roman" w:ascii="Times New Roman" w:hAnsi="Times New Roman"/>
          <w:color w:val="000000"/>
          <w:sz w:val="24"/>
          <w:szCs w:val="24"/>
        </w:rPr>
        <w:t>this implementation schedule.” (emphasis added).  These NERC directives have been interpreted by many control areas as a mandate that they demand tagging of all transmission transactions, and if the tag is not completed, a mandate that the system operator refuse to accept a schedule for transmission service from a transmission customer.  To date, a large and growing number of transmission schedules have been rejected because the customer either did not or could not provide a complete tag.  In other instances, control area operators have notified transmission customers that they will not schedule service for a transaction that has not been completely tagged, and the customer has had to submit information to complete a tag, even in cases where the requester was not the responsible party under NERC’s Policy 3 (</w:t>
      </w:r>
      <w:r>
        <w:rPr>
          <w:rFonts w:eastAsia="Times New Roman" w:cs="Times New Roman" w:ascii="Times New Roman" w:hAnsi="Times New Roman"/>
          <w:i/>
          <w:iCs/>
          <w:color w:val="000000"/>
          <w:sz w:val="24"/>
          <w:szCs w:val="24"/>
        </w:rPr>
        <w:t>See</w:t>
      </w:r>
      <w:r>
        <w:rPr>
          <w:rFonts w:eastAsia="Times New Roman" w:cs="Times New Roman" w:ascii="Times New Roman" w:hAnsi="Times New Roman"/>
          <w:color w:val="000000"/>
          <w:sz w:val="24"/>
          <w:szCs w:val="24"/>
        </w:rPr>
        <w:t xml:space="preserve"> App. D.E.3.).</w:t>
      </w:r>
      <w:r>
        <w:rPr>
          <w:rStyle w:val="FootnoteReference"/>
        </w:rPr>
        <w:footnoteReference w:id="41"/>
      </w:r>
      <w:r>
        <w:rPr>
          <w:rFonts w:eastAsia="Times New Roman" w:cs="Times New Roman" w:ascii="Times New Roman" w:hAnsi="Times New Roman"/>
          <w:color w:val="000000"/>
          <w:sz w:val="24"/>
          <w:szCs w:val="24"/>
        </w:rPr>
        <w:t xml:space="preserve">  In effect, tagging has become an extra-tariff term and condition on transmission access in violation of FPA section 205's requirement that “classification, practices, and regulations” affecting transmission be included in a rate schedule or tariff filed with, and determined to be just and reasonable by, the Commission. 16 U.S.C. §§ 824d(a),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Petitioners recognize that transmission line loading relief policies, including the tagging rule, implicate system reliability.  For this reason, some urge that these policies should remain subject to the discretion of system operators and not be specified in tariffs. The Commission has seen this argument before.  It rejected it then and, should reject it now.  Following Order No. 436's introduction of nondiscriminatory open access and Order No. 636's introduction of no-notice service into the natural gas industry, the natural gas pipelines asked for the ability to impose unilaterally operational control provisions for system reliability.  In both Orders No. 636 and 636-A, the Commission welcomed pipeline input on operational controls, but remained insistent that “the pipeline must include in its tariff all operational terms and conditions related to no-notice transportation service so that the Commission can review the reasonableness of those terms and conditions, and so that shippers will have notice as to what will be asked of them.”  </w:t>
      </w:r>
      <w:r>
        <w:rPr>
          <w:rFonts w:eastAsia="Times New Roman" w:cs="Times New Roman" w:ascii="Times New Roman" w:hAnsi="Times New Roman"/>
          <w:i/>
          <w:iCs/>
          <w:color w:val="000000"/>
          <w:sz w:val="24"/>
          <w:szCs w:val="24"/>
        </w:rPr>
        <w:t>Pipeline Service Obligations and Revisions to Regulations Governing Self-Implementing Transportation; and Regulation of Natural Gas Pipelines after Wellhead Decontrol</w:t>
      </w:r>
      <w:r>
        <w:rPr>
          <w:rFonts w:eastAsia="Times New Roman" w:cs="Times New Roman" w:ascii="Times New Roman" w:hAnsi="Times New Roman"/>
          <w:color w:val="000000"/>
          <w:sz w:val="24"/>
          <w:szCs w:val="24"/>
        </w:rPr>
        <w:t>, Order No. 636-A, [1991-96 Regs. Preambles] F.E.R.C. Stats. &amp; Regs. ¶ 30,950 at 30,575 (1992);</w:t>
      </w:r>
      <w:r>
        <w:rPr>
          <w:rFonts w:eastAsia="Times New Roman" w:cs="Times New Roman" w:ascii="Times New Roman" w:hAnsi="Times New Roman"/>
          <w:i/>
          <w:iCs/>
          <w:color w:val="000000"/>
          <w:sz w:val="24"/>
          <w:szCs w:val="24"/>
        </w:rPr>
        <w:t xml:space="preserve"> see also id.</w:t>
      </w:r>
      <w:r>
        <w:rPr>
          <w:rFonts w:eastAsia="Times New Roman" w:cs="Times New Roman" w:ascii="Times New Roman" w:hAnsi="Times New Roman"/>
          <w:color w:val="000000"/>
          <w:sz w:val="24"/>
          <w:szCs w:val="24"/>
        </w:rPr>
        <w:t xml:space="preserve"> (“Of course, the pipeline must include in its tariff . . . all of its operational terms and conditions in its tariff so that the Commission can determine" if they are reasonable).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 industry is in need of new or different operational or financial accounting rules to keep track of the growing number of transactions made possible by open access and to ensure system reliability, those rules need to be developed openly and with the Commission’s knowledge and approval, just as they were in the natural gas industry following Order No. 636.  They must not be delegated to private organizations with only selective representation, acting unilaterally.  In his statement upon signing the Energy Power Act of 1992, then-President George Bush instructed that when statutory provisions direct federal agencies to conform federal standards and procedures with standard or procedures of private organizations, the statute</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must be interpreted consistent with the Appointments Clause of the Constitution, which requires that authority under Federal law be exercised only by officers of the United States, and not by private organizations and State officials.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14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 . . Consistent with the Appointments Clause, the Secretaries should, when exercising their responsibilities under these provisions, reserve for themselves the final decision whether or to what extent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adopt these standards and procedures.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i/>
          <w:iCs/>
          <w:color w:val="000000"/>
          <w:sz w:val="24"/>
          <w:szCs w:val="24"/>
        </w:rPr>
        <w:t>Statement by President George Bush upon Signing H.R. 776</w:t>
      </w:r>
      <w:r>
        <w:rPr>
          <w:rFonts w:eastAsia="Times New Roman" w:cs="Times New Roman" w:ascii="Times New Roman" w:hAnsi="Times New Roman"/>
          <w:color w:val="000000"/>
          <w:sz w:val="24"/>
          <w:szCs w:val="24"/>
        </w:rPr>
        <w:t>, 1992 U.S.C.C.A.N. 2534-2.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fact that NERC has felt the need to act unilaterally to impose tagging and other rules on the industry as an extra-tariff condition on open access probably is symptomatic of the industry’s difficulties accounting for capacity and transactions in the presence of inconsistent transmission services --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bundled versus unbundled, and point-to-point versus network integration under Order No. 888 and the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tariff -- and an ineffective system of determining and communicating ATC.  It is now time for the Commission to reassert its exclusive jurisdiction over the wholesale power and transmission markets and help the industry sort out these difficulties.  The Commission can most effectively do so by instituting the rulemaking proposals detailed in this petition.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VI.</w:t>
        <w:tab/>
        <w:t>THE COMMISSION CAN TAKE IMMEDIATE STEPS TO PROMOTE MORE EFFECTIVE COMPETITION BY CLARIFYING OR RECONSIDERING SPECIFIC ELEMENTS OF THE EXISTING RULES OF OPEN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central message of this petition is that the continued orderly transition to a competitive electric power industry will require the Commission to move forward with the structural changes discussed in the preceding parts of this petition.  Absent structural reforms, the Commission will have to rely on a growing corpus of largely ineffective behavioral rules and regulations to police incentives of transmission owners and operators to discriminate in favor of their merchant function and their affiliates’ merchant activities.  Structural reforms, however, cannot be implemented overnight.  Pending adoption and implementation of structural reforms, there is not necessarily a need for more behavioral rules and regulations, but rather for better ones, including limited clarifications or revisions to the existing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transmission tariffs.  The changes requested are based on over twenty months of experience operating under the tariffs.  In App. F, we list, on a section-by-section basis, the clarifications and reconsiderations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that we seek.  In the discussion below, we explain why these clarifications or reconsiderations are needed.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6"/>
          <w:szCs w:val="26"/>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A.</w:t>
        <w:tab/>
        <w:t>Ensuring Accurate, Timely and Complete Reporting of ATC and TTC.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discussed in Part IV above, developing an effective strategy for remedying the problems surrounding the calculation and disclosure of ATC will require grappling with a number of interrelated issues.  The elements of such a strategy should include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1.</w:t>
        <w:tab/>
        <w:t>Independent oversight</w:t>
      </w:r>
      <w:r>
        <w:rPr>
          <w:rFonts w:eastAsia="Times New Roman" w:cs="Times New Roman" w:ascii="Times New Roman" w:hAnsi="Times New Roman"/>
          <w:color w:val="000000"/>
          <w:sz w:val="24"/>
          <w:szCs w:val="24"/>
        </w:rPr>
        <w:t xml:space="preserve">.  In order to provide the wholesale market unbiased estimates of transmission capability according to generally accepted standards, the Commission should oversee the formation of one or more </w:t>
      </w:r>
      <w:r>
        <w:rPr>
          <w:rFonts w:eastAsia="Times New Roman" w:cs="Times New Roman" w:ascii="Times New Roman" w:hAnsi="Times New Roman"/>
          <w:i/>
          <w:iCs/>
          <w:color w:val="000000"/>
          <w:sz w:val="24"/>
          <w:szCs w:val="24"/>
        </w:rPr>
        <w:t>independent</w:t>
      </w:r>
      <w:r>
        <w:rPr>
          <w:rFonts w:eastAsia="Times New Roman" w:cs="Times New Roman" w:ascii="Times New Roman" w:hAnsi="Times New Roman"/>
          <w:color w:val="000000"/>
          <w:sz w:val="24"/>
          <w:szCs w:val="24"/>
        </w:rPr>
        <w:t xml:space="preserve"> entities responsible for assessing and reporting TTC and ATC on a regional or super-regional basis, and managing line loading rules to minimize curtailment.  Two industry groups, the Commercial Practices Working Group and the OASIS How Working Group, have both recognized that, “[b]ecause of the effect of parallel flows, ATC is a wide-area phenomenon.  The market needs ATC information that is supported by coordination and data exchange between regions.”</w:t>
      </w:r>
      <w:r>
        <w:rPr>
          <w:rStyle w:val="FootnoteReference"/>
        </w:rPr>
        <w:footnoteReference w:id="42"/>
      </w:r>
      <w:r>
        <w:rPr>
          <w:rFonts w:eastAsia="Times New Roman" w:cs="Times New Roman" w:ascii="Times New Roman" w:hAnsi="Times New Roman"/>
          <w:color w:val="000000"/>
          <w:sz w:val="24"/>
          <w:szCs w:val="24"/>
        </w:rPr>
        <w:t xml:space="preserve">  Consistent with this reality, the job of collecting and analyzing information on power flows across the grid should be entrusted to </w:t>
      </w:r>
      <w:r>
        <w:rPr>
          <w:rFonts w:eastAsia="Times New Roman" w:cs="Times New Roman" w:ascii="Times New Roman" w:hAnsi="Times New Roman"/>
          <w:i/>
          <w:iCs/>
          <w:color w:val="000000"/>
          <w:sz w:val="24"/>
          <w:szCs w:val="24"/>
        </w:rPr>
        <w:t>independent</w:t>
      </w:r>
      <w:r>
        <w:rPr>
          <w:rFonts w:eastAsia="Times New Roman" w:cs="Times New Roman" w:ascii="Times New Roman" w:hAnsi="Times New Roman"/>
          <w:color w:val="000000"/>
          <w:sz w:val="24"/>
          <w:szCs w:val="24"/>
        </w:rPr>
        <w:t xml:space="preserve"> ATC monitoring entities</w:t>
      </w:r>
      <w:r>
        <w:rPr>
          <w:rStyle w:val="FootnoteReference"/>
        </w:rPr>
        <w:footnoteReference w:id="43"/>
      </w:r>
      <w:r>
        <w:rPr>
          <w:rFonts w:eastAsia="Times New Roman" w:cs="Times New Roman" w:ascii="Times New Roman" w:hAnsi="Times New Roman"/>
          <w:color w:val="000000"/>
          <w:sz w:val="24"/>
          <w:szCs w:val="24"/>
        </w:rPr>
        <w:t xml:space="preserve"> rather than to the transmission provider as is now the case.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2.</w:t>
        <w:tab/>
        <w:t>Timely reporting of insufficient ATC for nonfirm service</w:t>
      </w:r>
      <w:r>
        <w:rPr>
          <w:rFonts w:eastAsia="Times New Roman" w:cs="Times New Roman" w:ascii="Times New Roman" w:hAnsi="Times New Roman"/>
          <w:color w:val="000000"/>
          <w:sz w:val="24"/>
          <w:szCs w:val="24"/>
        </w:rPr>
        <w:t xml:space="preserve">.  Customers who request a determination of nonfirm ATC under section 18.4 of the tariff must have a reasonable interval in which to act on the answer, especially if the provider reports no ATC.  The Commission should clarify that pursuant to section 18.4, a transmission provider may not just sit on a “tendered schedule,” and then report that there is no ATC when it is too late for the nonfirm buyer to make other plans.  Transmission providers should be obligated to report insufficient ATC by a reasonable time in advance of the nonfirm scheduling deadline.  Similarly, a customer’s window to respond to a determination under section 18.4 that there </w:t>
      </w:r>
      <w:r>
        <w:rPr>
          <w:rFonts w:eastAsia="Times New Roman" w:cs="Times New Roman" w:ascii="Times New Roman" w:hAnsi="Times New Roman"/>
          <w:i/>
          <w:iCs/>
          <w:color w:val="000000"/>
          <w:sz w:val="24"/>
          <w:szCs w:val="24"/>
        </w:rPr>
        <w:t>is</w:t>
      </w:r>
      <w:r>
        <w:rPr>
          <w:rFonts w:eastAsia="Times New Roman" w:cs="Times New Roman" w:ascii="Times New Roman" w:hAnsi="Times New Roman"/>
          <w:color w:val="000000"/>
          <w:sz w:val="24"/>
          <w:szCs w:val="24"/>
        </w:rPr>
        <w:t xml:space="preserve"> ATC should be at least one half of the minimum time remaining before the commencement of service when the provider posts its answer --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15 minutes for hourly and daily service (half of 30 minutes); two hours for weekly nonfirm service; one day for monthly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3.</w:t>
      </w:r>
      <w:r>
        <w:rPr>
          <w:rFonts w:eastAsia="Times New Roman" w:cs="Times New Roman" w:ascii="Times New Roman" w:hAnsi="Times New Roman"/>
          <w:i/>
          <w:iCs/>
          <w:color w:val="000000"/>
          <w:sz w:val="24"/>
          <w:szCs w:val="24"/>
        </w:rPr>
        <w:tab/>
      </w:r>
      <w:r>
        <w:rPr>
          <w:rFonts w:eastAsia="Times New Roman" w:cs="Times New Roman" w:ascii="Times New Roman" w:hAnsi="Times New Roman"/>
          <w:b/>
          <w:bCs/>
          <w:i/>
          <w:iCs/>
          <w:color w:val="000000"/>
          <w:sz w:val="24"/>
          <w:szCs w:val="24"/>
        </w:rPr>
        <w:t>Cost and timing of system impact studies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At a minimum, the Commission should clarify or amend section 19 of the tariff to allow customers to require a transmission provider to conduct a system impact study in connection with a request for firm service, at the customer’s expense.  Additionally, the Commission should require the transmission provider to provide either a binding estimate of costs of such a study, or gain the consent of the customer before exceeding a specified cost cap.  Further, the time frames for system studies for service requests for terms of less than a year should be shorter than studies for longer-term service.  A system impact study for a month of service, for instance, should reasonably be finished in less than one week.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4.</w:t>
        <w:tab/>
        <w:t>Presumptive standards</w:t>
      </w:r>
      <w:r>
        <w:rPr>
          <w:rFonts w:eastAsia="Times New Roman" w:cs="Times New Roman" w:ascii="Times New Roman" w:hAnsi="Times New Roman"/>
          <w:color w:val="000000"/>
          <w:sz w:val="24"/>
          <w:szCs w:val="24"/>
        </w:rPr>
        <w:t>.  To provide a context for the ATC monitoring entities (or system impact studies), the Commission should direct the industry to develop presumptive standards for deriving the components of ATC, such as the transmission reserve margin (“TRM”).  Additionally, the methods of calculating and accounting for real power losses should be standardized, and these issues could be included within the general discussion of ATC.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Commercial Practices Working Group plans to ask the NERC Board of Trustees to commit funding to accelerate the timetable of the ATC Working Group, which presently plans to complete its review of ATC estimation methods by March 1999.  Petitioners support the intent of this activity, but not the timing.  Power markets need a speedier remedy.  The Commission should strongly urge NERC to provide funding for a consensus report on ATC calculation to be filed with the Commission  no later than August 1,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5.</w:t>
        <w:tab/>
        <w:t>Post all transmission on OASIS.</w:t>
      </w:r>
      <w:r>
        <w:rPr>
          <w:rFonts w:eastAsia="Times New Roman" w:cs="Times New Roman" w:ascii="Times New Roman" w:hAnsi="Times New Roman"/>
          <w:color w:val="000000"/>
          <w:sz w:val="24"/>
          <w:szCs w:val="24"/>
        </w:rPr>
        <w:t xml:space="preserve">  Even independent monitors and consensus standards, as proposed above, cannot ensure reliable estimates of transfer capability unless operators are required to disclose on OASIS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uses of their transmission systems, including transactions on behalf of captive retail customers.</w:t>
      </w:r>
      <w:r>
        <w:rPr>
          <w:rStyle w:val="FootnoteReference"/>
        </w:rPr>
        <w:footnoteReference w:id="44"/>
      </w:r>
      <w:r>
        <w:rPr>
          <w:rFonts w:eastAsia="Times New Roman" w:cs="Times New Roman" w:ascii="Times New Roman" w:hAnsi="Times New Roman"/>
          <w:color w:val="000000"/>
          <w:sz w:val="24"/>
          <w:szCs w:val="24"/>
        </w:rPr>
        <w:t xml:space="preserve">  As we have argued above in Part IV. B., OASIS cannot serve its purpose, and the Commission cannot effectively overcome the problems with ATC postings unless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transactions for wholesale </w:t>
      </w:r>
      <w:r>
        <w:rPr>
          <w:rFonts w:eastAsia="Times New Roman" w:cs="Times New Roman" w:ascii="Times New Roman" w:hAnsi="Times New Roman"/>
          <w:i/>
          <w:iCs/>
          <w:color w:val="000000"/>
          <w:sz w:val="24"/>
          <w:szCs w:val="24"/>
        </w:rPr>
        <w:t>and</w:t>
      </w:r>
      <w:r>
        <w:rPr>
          <w:rFonts w:eastAsia="Times New Roman" w:cs="Times New Roman" w:ascii="Times New Roman" w:hAnsi="Times New Roman"/>
          <w:color w:val="000000"/>
          <w:sz w:val="24"/>
          <w:szCs w:val="24"/>
        </w:rPr>
        <w:t xml:space="preserve"> captive load are accurately disclosed and accounted for.  The Commission can and should immediately require transmission-owning utilities to post on OASIS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transmission for retail captive load, including amounts reserved for capacity benefit margin;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network integration service provided to wholesale customers; and, equally important,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transmission under “grandfathered,” pre-Order No. 888 service agreements. Transmission providers should also be required to post on OASIS the expected or actual termination date of service.  Transmission providers that violate the ATC reporting rules, standards and protocols must be sanctioned effectively.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6.</w:t>
        <w:tab/>
        <w:t>Investigations and enforcement.</w:t>
      </w:r>
      <w:r>
        <w:rPr>
          <w:rFonts w:eastAsia="Times New Roman" w:cs="Times New Roman" w:ascii="Times New Roman" w:hAnsi="Times New Roman"/>
          <w:color w:val="000000"/>
          <w:sz w:val="24"/>
          <w:szCs w:val="24"/>
        </w:rPr>
        <w:t xml:space="preserve">  Transmission customers should be able to file notices of potential ATC-related abuses with an independent ATC monitor or with the Commission.  If an alleged violation is found to be credible, enforcement staff personnel should be empowered to investigate without revealing the name of the complaining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main goals of the Commission’s enforcement program should be to ensure that transmission owners, within reason:  (1) accurately and promptly post all uses of their systems, (2) offer for sale all of the ATC that they post, and (3) sell </w:t>
      </w:r>
      <w:r>
        <w:rPr>
          <w:rFonts w:eastAsia="Times New Roman" w:cs="Times New Roman" w:ascii="Times New Roman" w:hAnsi="Times New Roman"/>
          <w:i/>
          <w:iCs/>
          <w:color w:val="000000"/>
          <w:sz w:val="24"/>
          <w:szCs w:val="24"/>
        </w:rPr>
        <w:t>only</w:t>
      </w:r>
      <w:r>
        <w:rPr>
          <w:rFonts w:eastAsia="Times New Roman" w:cs="Times New Roman" w:ascii="Times New Roman" w:hAnsi="Times New Roman"/>
          <w:color w:val="000000"/>
          <w:sz w:val="24"/>
          <w:szCs w:val="24"/>
        </w:rPr>
        <w:t xml:space="preserve"> the ATC that they post.  Secondary goals should include identifying and investigating, with the help of customers, those situations where a transmission owner may be using its transmission system, or its common ownership of transmission and generation assets, to gain competitive advantages in power destination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7.</w:t>
        <w:tab/>
        <w:t>Effective sanctions.</w:t>
      </w:r>
      <w:r>
        <w:rPr>
          <w:rFonts w:eastAsia="Times New Roman" w:cs="Times New Roman" w:ascii="Times New Roman" w:hAnsi="Times New Roman"/>
          <w:color w:val="000000"/>
          <w:sz w:val="24"/>
          <w:szCs w:val="24"/>
        </w:rPr>
        <w:t xml:space="preserve">  When anti-competitive abuses of the transmission grid or of OASIS are uncovered, the Commission needs to have in place a range of sanctions to provide suitable, incremental deterrence.  The Commission already has authority to impose liability; yet, in order to be most effective, the menu of sanctions should be announced in a policy statement or in a clarification of Order No. 889-A as a deterrent.  Examples of sanctions that should be included in the menu include:</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Refunding a transmission payment, or providing a future transmission transaction to a non-utility customer for free (when, for example, a transaction was inappropriately curtailed);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Excluding equity return from the transmission rates for third parties for a specified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Reducing the transmission owner’s equity return rate for transmission assets according to a schedule that adjusts the percentage reduction in accordance with the gravity of the violation;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Revoking the right of a utility to sell power at market-based rates.  </w:t>
      </w:r>
      <w:r>
        <w:rPr>
          <w:rFonts w:eastAsia="Times New Roman" w:cs="Times New Roman" w:ascii="Times New Roman" w:hAnsi="Times New Roman"/>
          <w:i/>
          <w:iCs/>
          <w:color w:val="000000"/>
          <w:sz w:val="24"/>
          <w:szCs w:val="24"/>
        </w:rPr>
        <w:t>See, 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Pacific Northwest Generation Cooperative</w:t>
      </w:r>
      <w:r>
        <w:rPr>
          <w:rFonts w:eastAsia="Times New Roman" w:cs="Times New Roman" w:ascii="Times New Roman" w:hAnsi="Times New Roman"/>
          <w:color w:val="000000"/>
          <w:sz w:val="24"/>
          <w:szCs w:val="24"/>
        </w:rPr>
        <w:t xml:space="preserve">, 78 F.E.R.C. ¶ 61,018, </w:t>
      </w:r>
      <w:r>
        <w:rPr>
          <w:rFonts w:eastAsia="Times New Roman" w:cs="Times New Roman" w:ascii="Times New Roman" w:hAnsi="Times New Roman"/>
          <w:i/>
          <w:iCs/>
          <w:color w:val="000000"/>
          <w:sz w:val="24"/>
          <w:szCs w:val="24"/>
        </w:rPr>
        <w:t>reh’g granted</w:t>
      </w:r>
      <w:r>
        <w:rPr>
          <w:rFonts w:eastAsia="Times New Roman" w:cs="Times New Roman" w:ascii="Times New Roman" w:hAnsi="Times New Roman"/>
          <w:color w:val="000000"/>
          <w:sz w:val="24"/>
          <w:szCs w:val="24"/>
        </w:rPr>
        <w:t>, 78 F.E.R.C. ¶ 61,275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B.</w:t>
        <w:tab/>
        <w:t>Plain Public Rules on Reservation, Scheduling, Tagging and Curtailment Schemes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The Commission should call an immediate halt to imposition of extra-tariff terms and conditions of transmission access, including rules for reserving, scheduling (including determining ATC), tagging and curtailing.  The Commission needs to clarify that transmission protocols of NERC or any other body </w:t>
      </w:r>
      <w:r>
        <w:rPr>
          <w:rFonts w:eastAsia="Times New Roman" w:cs="Times New Roman" w:ascii="Times New Roman" w:hAnsi="Times New Roman"/>
          <w:i/>
          <w:iCs/>
          <w:color w:val="000000"/>
          <w:sz w:val="24"/>
          <w:szCs w:val="24"/>
        </w:rPr>
        <w:t>do not</w:t>
      </w:r>
      <w:r>
        <w:rPr>
          <w:rFonts w:eastAsia="Times New Roman" w:cs="Times New Roman" w:ascii="Times New Roman" w:hAnsi="Times New Roman"/>
          <w:color w:val="000000"/>
          <w:sz w:val="24"/>
          <w:szCs w:val="24"/>
        </w:rPr>
        <w:t xml:space="preserve"> override and must be consistent with the express provisions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To the extent the Commission and the industry determine that system reliability requires new rules and regulations, the Commission should initiate proceedings to determine an appropriate, non-discriminatory system for achieving the objectives of a practice such as tagging -- </w:t>
      </w:r>
      <w:r>
        <w:rPr>
          <w:rFonts w:eastAsia="Times New Roman" w:cs="Times New Roman" w:ascii="Times New Roman" w:hAnsi="Times New Roman"/>
          <w:i/>
          <w:iCs/>
          <w:color w:val="000000"/>
          <w:sz w:val="24"/>
          <w:szCs w:val="24"/>
        </w:rPr>
        <w:t xml:space="preserve">viz, </w:t>
      </w:r>
      <w:r>
        <w:rPr>
          <w:rFonts w:eastAsia="Times New Roman" w:cs="Times New Roman" w:ascii="Times New Roman" w:hAnsi="Times New Roman"/>
          <w:color w:val="000000"/>
          <w:sz w:val="24"/>
          <w:szCs w:val="24"/>
        </w:rPr>
        <w:t>identifying interchange transactions and modeling loop flow.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To protect against a proliferation of unilateral rules, an important step would be to clarify that firm service means </w:t>
      </w:r>
      <w:r>
        <w:rPr>
          <w:rFonts w:eastAsia="Times New Roman" w:cs="Times New Roman" w:ascii="Times New Roman" w:hAnsi="Times New Roman"/>
          <w:i/>
          <w:iCs/>
          <w:color w:val="000000"/>
          <w:sz w:val="24"/>
          <w:szCs w:val="24"/>
        </w:rPr>
        <w:t>firm</w:t>
      </w:r>
      <w:r>
        <w:rPr>
          <w:rFonts w:eastAsia="Times New Roman" w:cs="Times New Roman" w:ascii="Times New Roman" w:hAnsi="Times New Roman"/>
          <w:color w:val="000000"/>
          <w:sz w:val="24"/>
          <w:szCs w:val="24"/>
        </w:rPr>
        <w:t xml:space="preserve">.  As the Commission has said, “[A] firm transmission customer pays a firm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 xml:space="preserve">transmission rate in order to use the transmission system in an uninterrupted manner for the term of the transaction.”  </w:t>
      </w:r>
      <w:r>
        <w:rPr>
          <w:rFonts w:eastAsia="Times New Roman" w:cs="Times New Roman" w:ascii="Times New Roman" w:hAnsi="Times New Roman"/>
          <w:i/>
          <w:iCs/>
          <w:color w:val="000000"/>
          <w:sz w:val="24"/>
          <w:szCs w:val="24"/>
        </w:rPr>
        <w:t>Florida Power &amp; Light Co.</w:t>
      </w:r>
      <w:r>
        <w:rPr>
          <w:rFonts w:eastAsia="Times New Roman" w:cs="Times New Roman" w:ascii="Times New Roman" w:hAnsi="Times New Roman"/>
          <w:color w:val="000000"/>
          <w:sz w:val="24"/>
          <w:szCs w:val="24"/>
        </w:rPr>
        <w:t xml:space="preserve">, 70 F.E.R.C. ¶ 61,158, at 61,482 (1995).  When a transmission customer pays for firm service, the provider must be obliged to complete the transaction, subject only to genuine </w:t>
      </w:r>
      <w:r>
        <w:rPr>
          <w:rFonts w:eastAsia="Times New Roman" w:cs="Times New Roman" w:ascii="Times New Roman" w:hAnsi="Times New Roman"/>
          <w:i/>
          <w:iCs/>
          <w:color w:val="000000"/>
          <w:sz w:val="24"/>
          <w:szCs w:val="24"/>
        </w:rPr>
        <w:t>force majeure</w:t>
      </w:r>
      <w:r>
        <w:rPr>
          <w:rFonts w:eastAsia="Times New Roman" w:cs="Times New Roman" w:ascii="Times New Roman" w:hAnsi="Times New Roman"/>
          <w:color w:val="000000"/>
          <w:sz w:val="24"/>
          <w:szCs w:val="24"/>
        </w:rPr>
        <w:t xml:space="preserve"> contingencies.  The Commission should clarify that an unsubstantiated call for line loading relief by a NERC Security Coordinator does </w:t>
      </w:r>
      <w:r>
        <w:rPr>
          <w:rFonts w:eastAsia="Times New Roman" w:cs="Times New Roman" w:ascii="Times New Roman" w:hAnsi="Times New Roman"/>
          <w:i/>
          <w:iCs/>
          <w:color w:val="000000"/>
          <w:sz w:val="24"/>
          <w:szCs w:val="24"/>
        </w:rPr>
        <w:t>not</w:t>
      </w:r>
      <w:r>
        <w:rPr>
          <w:rFonts w:eastAsia="Times New Roman" w:cs="Times New Roman" w:ascii="Times New Roman" w:hAnsi="Times New Roman"/>
          <w:color w:val="000000"/>
          <w:sz w:val="24"/>
          <w:szCs w:val="24"/>
        </w:rPr>
        <w:t xml:space="preserve"> qualify as an emergency or constitute </w:t>
      </w:r>
      <w:r>
        <w:rPr>
          <w:rFonts w:eastAsia="Times New Roman" w:cs="Times New Roman" w:ascii="Times New Roman" w:hAnsi="Times New Roman"/>
          <w:i/>
          <w:iCs/>
          <w:color w:val="000000"/>
          <w:sz w:val="24"/>
          <w:szCs w:val="24"/>
        </w:rPr>
        <w:t>force majeure</w:t>
      </w:r>
      <w:r>
        <w:rPr>
          <w:rFonts w:eastAsia="Times New Roman" w:cs="Times New Roman" w:ascii="Times New Roman" w:hAnsi="Times New Roman"/>
          <w:color w:val="000000"/>
          <w:sz w:val="24"/>
          <w:szCs w:val="24"/>
        </w:rPr>
        <w:t xml:space="preserve">.  Consistent with the </w:t>
      </w:r>
      <w:r>
        <w:rPr>
          <w:rFonts w:eastAsia="Times New Roman" w:cs="Times New Roman" w:ascii="Times New Roman" w:hAnsi="Times New Roman"/>
          <w:i/>
          <w:iCs/>
          <w:color w:val="000000"/>
          <w:sz w:val="24"/>
          <w:szCs w:val="24"/>
        </w:rPr>
        <w:t xml:space="preserve">pro forma </w:t>
      </w:r>
      <w:r>
        <w:rPr>
          <w:rFonts w:eastAsia="Times New Roman" w:cs="Times New Roman" w:ascii="Times New Roman" w:hAnsi="Times New Roman"/>
          <w:color w:val="000000"/>
          <w:sz w:val="24"/>
          <w:szCs w:val="24"/>
        </w:rPr>
        <w:t xml:space="preserve">tariff, if the transmission provider is able to cause the redispatch of its system to alleviate a constraint that threatens the scheduled service (or, if necessary, to pay another transmission operator to redispatch), then the provider should be obligated to do so.  If it fails to obtain redispatch, the provider should face liability in ordinary contract damages, potentially under a liquidated damages clause written into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An additional behavioral solution is to encourage transmission providers to post on OASIS the redispatch costs that might be associated with a firm transaction.  Posting would allow transmission counter parties to condition a firm reservation on agreement by the customer to pay for redispatch.  To ensure comparability and commercial reliability, however, transmission providers should be required to post a </w:t>
      </w:r>
      <w:r>
        <w:rPr>
          <w:rFonts w:eastAsia="Times New Roman" w:cs="Times New Roman" w:ascii="Times New Roman" w:hAnsi="Times New Roman"/>
          <w:i/>
          <w:iCs/>
          <w:color w:val="000000"/>
          <w:sz w:val="24"/>
          <w:szCs w:val="24"/>
        </w:rPr>
        <w:t>definite</w:t>
      </w:r>
      <w:r>
        <w:rPr>
          <w:rFonts w:eastAsia="Times New Roman" w:cs="Times New Roman" w:ascii="Times New Roman" w:hAnsi="Times New Roman"/>
          <w:color w:val="000000"/>
          <w:sz w:val="24"/>
          <w:szCs w:val="24"/>
        </w:rPr>
        <w:t xml:space="preserve"> price or price ceiling for redispatch (as well as the method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calculating such costs) on OASIS in advance, so that customers can make informed purchasing decisions and not be subject to surprise charges.</w:t>
      </w:r>
      <w:r>
        <w:rPr>
          <w:rStyle w:val="FootnoteReference"/>
        </w:rPr>
        <w:footnoteReference w:id="45"/>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 xml:space="preserve">Creating a market for redispatch in connection with nonfirm point-to-point service would, likewise, improve the dependability and utility of nonfirm rights, while promoting efficient pricing and allocation of nonfirm uses of the grid.  Nonfirm transmission customers should have the right to </w:t>
      </w:r>
      <w:r>
        <w:rPr>
          <w:rFonts w:eastAsia="Times New Roman" w:cs="Times New Roman" w:ascii="Times New Roman" w:hAnsi="Times New Roman"/>
          <w:i/>
          <w:iCs/>
          <w:color w:val="000000"/>
          <w:sz w:val="24"/>
          <w:szCs w:val="24"/>
        </w:rPr>
        <w:t>timely</w:t>
      </w:r>
      <w:r>
        <w:rPr>
          <w:rFonts w:eastAsia="Times New Roman" w:cs="Times New Roman" w:ascii="Times New Roman" w:hAnsi="Times New Roman"/>
          <w:color w:val="000000"/>
          <w:sz w:val="24"/>
          <w:szCs w:val="24"/>
        </w:rPr>
        <w:t xml:space="preserve"> notice of a potential reliability-related interruption of service.  Nonfirm customers should then have the </w:t>
      </w:r>
      <w:r>
        <w:rPr>
          <w:rFonts w:eastAsia="Times New Roman" w:cs="Times New Roman" w:ascii="Times New Roman" w:hAnsi="Times New Roman"/>
          <w:i/>
          <w:iCs/>
          <w:color w:val="000000"/>
          <w:sz w:val="24"/>
          <w:szCs w:val="24"/>
        </w:rPr>
        <w:t>option</w:t>
      </w:r>
      <w:r>
        <w:rPr>
          <w:rFonts w:eastAsia="Times New Roman" w:cs="Times New Roman" w:ascii="Times New Roman" w:hAnsi="Times New Roman"/>
          <w:color w:val="000000"/>
          <w:sz w:val="24"/>
          <w:szCs w:val="24"/>
        </w:rPr>
        <w:t xml:space="preserve"> to pay for redispatch to alleviate this constraint and avoid interruption.  Creating a transparent, open market in redispatch pending implementation of a reservation-based tariff will allow buyers of point-to-point service a degree of control over the completion of nonfirm transactions that is more nearly comparable to the control that transmission-owning utilities enjoy when arranging transactions over their own systems.  It will also permit price signals to help allocate transmission space efficiently to those customers for whom it has the highest dollar value.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C.</w:t>
        <w:tab/>
        <w:t>Improving Liquidity and Reducing Transaction Costs of Firm and Nonfirm Point-to-Point Rights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Pending introduction of the structural reforms proposed in this petition, the wholesale market sorely needs a number of other incremental changes to make point-to-point transmission service less cumbersome.  These are actions that the Commission can and should take </w:t>
      </w:r>
      <w:r>
        <w:rPr>
          <w:rFonts w:eastAsia="Times New Roman" w:cs="Times New Roman" w:ascii="Times New Roman" w:hAnsi="Times New Roman"/>
          <w:i/>
          <w:iCs/>
          <w:color w:val="000000"/>
          <w:sz w:val="24"/>
          <w:szCs w:val="24"/>
        </w:rPr>
        <w:t>now</w:t>
      </w:r>
      <w:r>
        <w:rPr>
          <w:rFonts w:eastAsia="Times New Roman" w:cs="Times New Roman" w:ascii="Times New Roman" w:hAnsi="Times New Roman"/>
          <w:color w:val="000000"/>
          <w:sz w:val="24"/>
          <w:szCs w:val="24"/>
        </w:rPr>
        <w:t xml:space="preserve"> to reduce transaction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1.</w:t>
        <w:tab/>
        <w:t xml:space="preserve">Firm point-to-point. </w:t>
      </w:r>
      <w:r>
        <w:rPr>
          <w:rFonts w:eastAsia="Times New Roman" w:cs="Times New Roman" w:ascii="Times New Roman" w:hAnsi="Times New Roman"/>
          <w:color w:val="000000"/>
          <w:sz w:val="24"/>
          <w:szCs w:val="24"/>
        </w:rPr>
        <w:t xml:space="preserve">Petitioners’ experience has been that in many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cases the failure to specify deadlines by which a transmission provider must respond to short-term firm transmission requests has resulted in firm service not being made available or the transmission provider waiting until the end of the fifteen-day period to find an application deficient or the sixty-day period to deny a request.  The Commission should require transmission providers to respond to a request for short-term firm service as soon as possible, but in no event more than the time provided for responses to nonfirm service requests.  Transmission providers should also be required to notify a transmission customer if its application is deficient within at most four hours of its receipt.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 xml:space="preserve">Finally, despite provisions in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that permit multiple receipt and delivery points under the same agreement, transmission providers have generally restricted requests to one receipt point and one delivery point.  The Commission should clarify that customers should be able to request multiple receipt and delivery points in a single application for firm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2.</w:t>
        <w:tab/>
        <w:t xml:space="preserve">Scheduling deadlines.  </w:t>
      </w:r>
      <w:r>
        <w:rPr>
          <w:rFonts w:eastAsia="Times New Roman" w:cs="Times New Roman" w:ascii="Times New Roman" w:hAnsi="Times New Roman"/>
          <w:color w:val="000000"/>
          <w:sz w:val="24"/>
          <w:szCs w:val="24"/>
        </w:rPr>
        <w:t>In order to give new entrants and other transmission customers a fair opportunity to compete in short-term markets, short-term scheduling deadlines should be both comparable and uniform.  The deadline to schedule firm service should be noon, or later so that the deadline for the over-the-counter market (11:00 a.m.) corresponds to the scheduling deadlines.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Further, Petitioners’ experience has been that many transmission providers will not permit a</w:t>
      </w:r>
      <w:r>
        <w:rPr>
          <w:rFonts w:eastAsia="Times New Roman" w:cs="Times New Roman" w:ascii="Times New Roman" w:hAnsi="Times New Roman"/>
          <w:i/>
          <w:iCs/>
          <w:color w:val="000000"/>
          <w:sz w:val="24"/>
          <w:szCs w:val="24"/>
        </w:rPr>
        <w:t xml:space="preserve"> firm</w:t>
      </w:r>
      <w:r>
        <w:rPr>
          <w:rFonts w:eastAsia="Times New Roman" w:cs="Times New Roman" w:ascii="Times New Roman" w:hAnsi="Times New Roman"/>
          <w:color w:val="000000"/>
          <w:sz w:val="24"/>
          <w:szCs w:val="24"/>
        </w:rPr>
        <w:t xml:space="preserve"> customer to change its schedule after the 10:00 a.m. scheduling deadline where the change  increases the schedule and the transmission provider has re-sold reserved but unscheduled capacity.  The payment of a firm reservation charge should give the firm customer the right to recall its rights and to schedule or reschedule on short notice after 10:00 a.m.  This means that the transmission provider can resell reserved firm transmission only on a nonfirm basis.  There is no operational reason to allow transmission providers to sell the same rights twice.  Finally, the Commission should clarify that, in the event that the firm customer is unable to schedule or does not submit a schedule, it should incur no scheduling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3.</w:t>
        <w:tab/>
        <w:t>Secondary interfaces</w:t>
      </w:r>
      <w:r>
        <w:rPr>
          <w:rFonts w:eastAsia="Times New Roman" w:cs="Times New Roman" w:ascii="Times New Roman" w:hAnsi="Times New Roman"/>
          <w:color w:val="000000"/>
          <w:sz w:val="24"/>
          <w:szCs w:val="24"/>
        </w:rPr>
        <w:t>.  Transmission customers that do not serve captive retail loads are able to build a portfolio of transmission options over a given system by using long-term flexible point-to-point service, rather than network service.  For these long-term transmission customers, secondary-point service is the commercial equivalent of a network customer purchasing economy energy from a non-designated resource.  Since virtually all new entrants do not have captive retail loads and are therefore unable to buy network service, these two services -- secondary point and non-designated resource -- should have roughly comparable scheduling and curtailment priorities.</w:t>
      </w:r>
      <w:r>
        <w:rPr>
          <w:rStyle w:val="FootnoteReference"/>
        </w:rPr>
        <w:footnoteReference w:id="46"/>
      </w:r>
      <w:r>
        <w:rPr>
          <w:rFonts w:eastAsia="Times New Roman" w:cs="Times New Roman" w:ascii="Times New Roman" w:hAnsi="Times New Roman"/>
          <w:color w:val="000000"/>
          <w:sz w:val="24"/>
          <w:szCs w:val="24"/>
        </w:rPr>
        <w:t xml:space="preserve">  Likewise, to improve comparability and the transferability of point-to-point rights, service over secondary interfaces should have the same scheduling priority as nonfirm network service from a non-designated resource -- except that point-to-point customers changing receipt or delivery points, unlike network customers, should not be able to displace stand-alone nonfirm service that is already scheduled.  Further, in curtailment situations, secondary-point service should enjoy slightly higher priority than nonfirm network service, since a point-to-point customer must incur new charges to obtain an alternative path.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4.</w:t>
        <w:tab/>
        <w:t xml:space="preserve">Nonfirm service should be offered on a commodity-only basis.  </w:t>
      </w:r>
      <w:r>
        <w:rPr>
          <w:rFonts w:eastAsia="Times New Roman" w:cs="Times New Roman" w:ascii="Times New Roman" w:hAnsi="Times New Roman"/>
          <w:color w:val="000000"/>
          <w:sz w:val="24"/>
          <w:szCs w:val="24"/>
        </w:rPr>
        <w:t>In comments on the Commission’s Notice of Proposed Rulemaking in Docket No. RM95-8, several parties predicted</w:t>
      </w:r>
      <w:r>
        <w:rPr>
          <w:rFonts w:eastAsia="Times New Roman" w:cs="Times New Roman" w:ascii="Times New Roman" w:hAnsi="Times New Roman"/>
          <w:color w:val="000000"/>
          <w:sz w:val="24"/>
          <w:szCs w:val="24"/>
        </w:rPr>
        <w:t xml:space="preserve"> that the risk of loss of “reservation” charges under the Commission’s proposed  nonfirm point-to-point service offering would suppress market opportunities that would otherwise be available under usage-based rates.</w:t>
      </w:r>
      <w:r>
        <w:rPr>
          <w:rFonts w:eastAsia="Times New Roman" w:cs="Times New Roman" w:ascii="Times New Roman" w:hAnsi="Times New Roman"/>
          <w:color w:val="000000"/>
          <w:sz w:val="24"/>
          <w:szCs w:val="24"/>
        </w:rPr>
        <w:t xml:space="preserve">  Petitioners’ experience since implementation of Order No. 888 is that this prediction has come true.  Transmission customers are required to reserve nonfirm service and pay a reservation charge whether they are able to use the service or not.  For example, if a transmission customer reserves nonfirm transmission across three systems and is interrupted on one of the three systems, it must nonetheless pay a reservation charge for nonfirm service across two, and possibly three, of the systems.  This is the case even if service is curtailed pursuant to the transmission providers emergency procedures, service is interrupted for economic reasons --</w:t>
      </w:r>
      <w:r>
        <w:rPr>
          <w:rFonts w:eastAsia="Times New Roman" w:cs="Times New Roman" w:ascii="Times New Roman" w:hAnsi="Times New Roman"/>
          <w:i/>
          <w:iCs/>
          <w:color w:val="000000"/>
          <w:sz w:val="24"/>
          <w:szCs w:val="24"/>
        </w:rPr>
        <w:t xml:space="preserve"> i.e</w:t>
      </w:r>
      <w:r>
        <w:rPr>
          <w:rFonts w:eastAsia="Times New Roman" w:cs="Times New Roman" w:ascii="Times New Roman" w:hAnsi="Times New Roman"/>
          <w:color w:val="000000"/>
          <w:sz w:val="24"/>
          <w:szCs w:val="24"/>
        </w:rPr>
        <w:t>., one of the transmission providers has been offered a higher rate, a longer term, subsequently sells the capacity on a firm basis or decides to use the capacity for an economy purchase -- or the transmission provider simply decides that its ATC number is not correct.  The transmission customer must then pay another reservation charge to change its point of receipt to serve its load from another source.  By contrast,  transmission providers are insulated from any commensurate risk because they have sold the rights to their system on a firm, load ratio share basis, and thus do not risk collecting their costs if they receive no revenues from providing nonfirm service.</w:t>
      </w:r>
      <w:r>
        <w:rPr>
          <w:rStyle w:val="FootnoteReference"/>
        </w:rPr>
        <w:footnoteReference w:id="47"/>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pPr>
      <w:r>
        <w:rPr>
          <w:rFonts w:eastAsia="Times New Roman" w:cs="Times New Roman" w:ascii="Times New Roman" w:hAnsi="Times New Roman"/>
          <w:color w:val="000000"/>
          <w:sz w:val="24"/>
          <w:szCs w:val="24"/>
        </w:rPr>
        <w:tab/>
        <w:t xml:space="preserve">Further, </w:t>
      </w:r>
      <w:r>
        <w:rPr>
          <w:rFonts w:eastAsia="Times New Roman" w:cs="Times New Roman" w:ascii="Times New Roman" w:hAnsi="Times New Roman"/>
          <w:color w:val="000000"/>
          <w:sz w:val="24"/>
          <w:szCs w:val="24"/>
        </w:rPr>
        <w:t xml:space="preserve">many needless problems arise because the Commission adopted a two-step purchasing process involving both a service reservation and a scheduling request.  This procedure (the reasons for which the Commission has never explained) is costly and cumbersome, especially when compared to the single-step process by which interruptible gas transportation service is sold by Commission-regulated natural gas pipelines. </w:t>
      </w:r>
      <w:r>
        <w:rPr>
          <w:rFonts w:eastAsia="Times New Roman" w:cs="Times New Roman" w:ascii="Times New Roman" w:hAnsi="Times New Roman"/>
          <w:color w:val="000000"/>
          <w:sz w:val="24"/>
          <w:szCs w:val="24"/>
        </w:rPr>
        <w:t>The Commission should modify the nonfirm service procedure to adopt a one-step process for reserving and scheduling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5.</w:t>
        <w:tab/>
        <w:t>Bidding for and controlling nonfirm rights</w:t>
      </w:r>
      <w:r>
        <w:rPr>
          <w:rFonts w:eastAsia="Times New Roman" w:cs="Times New Roman" w:ascii="Times New Roman" w:hAnsi="Times New Roman"/>
          <w:color w:val="000000"/>
          <w:sz w:val="24"/>
          <w:szCs w:val="24"/>
        </w:rPr>
        <w:t xml:space="preserve">.  The bid up process for buying nonfirm rights should stop at some reasonable point in advance of a transaction, so that the winning bidders can assert control over nonfirm rights, subject only to bumping by customers with </w:t>
      </w:r>
      <w:r>
        <w:rPr>
          <w:rFonts w:eastAsia="Times New Roman" w:cs="Times New Roman" w:ascii="Times New Roman" w:hAnsi="Times New Roman"/>
          <w:i/>
          <w:iCs/>
          <w:color w:val="000000"/>
          <w:sz w:val="24"/>
          <w:szCs w:val="24"/>
        </w:rPr>
        <w:t>firm</w:t>
      </w:r>
      <w:r>
        <w:rPr>
          <w:rFonts w:eastAsia="Times New Roman" w:cs="Times New Roman" w:ascii="Times New Roman" w:hAnsi="Times New Roman"/>
          <w:color w:val="000000"/>
          <w:sz w:val="24"/>
          <w:szCs w:val="24"/>
        </w:rPr>
        <w:t xml:space="preserve"> reservations that have not scheduled service earlier in the day.  So long as there is still a reservation process for nonfirm service, it makes no sense to impose limitations on how early a customer can request service.  A customer should be able to request service as soon as the provider is required to post the ATC.  As with firm service, scheduling deadlines for nonfirm service need to be uniform.</w:t>
      </w:r>
    </w:p>
    <w:p>
      <w:pPr>
        <w:sectPr>
          <w:headerReference w:type="default" r:id="rId2"/>
          <w:footnotePr>
            <w:numFmt w:val="decimal"/>
          </w:footnotePr>
          <w:type w:val="nextPage"/>
          <w:pgSz w:w="12240" w:h="15840"/>
          <w:pgMar w:left="1440" w:right="1440" w:gutter="0" w:header="1440" w:top="1992" w:footer="0" w:bottom="1440"/>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6.</w:t>
        <w:tab/>
        <w:t>Clarify rules of secondary market</w:t>
      </w:r>
      <w:r>
        <w:rPr>
          <w:rFonts w:eastAsia="Times New Roman" w:cs="Times New Roman" w:ascii="Times New Roman" w:hAnsi="Times New Roman"/>
          <w:color w:val="000000"/>
          <w:sz w:val="24"/>
          <w:szCs w:val="24"/>
        </w:rPr>
        <w:t xml:space="preserve">.  The Commission should clarify that (1) owners of transmission rights can make a secondary market in any “lesser included”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 products or terms of service pursuant to section 23, (2) the duties of transmission providers, resellers and purchasers in this secondary transmission market will track ordinary contract principles governing assignments, and (3) changing the source or sink (or other incidental parts of a tag) for a transaction does not constitute a request for new service that affects reservation or curtailment priority.  The Commission should explain how to measure a transmission reseller’s “opportunity costs” under section 23.1.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7.</w:t>
        <w:tab/>
        <w:t>Changing receipt and delivery points and source and sink</w:t>
      </w:r>
      <w:r>
        <w:rPr>
          <w:rFonts w:eastAsia="Times New Roman" w:cs="Times New Roman" w:ascii="Times New Roman" w:hAnsi="Times New Roman"/>
          <w:color w:val="000000"/>
          <w:sz w:val="24"/>
          <w:szCs w:val="24"/>
        </w:rPr>
        <w:t xml:space="preserve">.  Despite clear rules in section 22.2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transmission providers persistently refuse to permit firm customers to change receipt and delivery points on a permanent basis.  The Commission should reiterate that a firm customer can freely change a receipt or delivery point on a </w:t>
      </w:r>
      <w:r>
        <w:rPr>
          <w:rFonts w:eastAsia="Times New Roman" w:cs="Times New Roman" w:ascii="Times New Roman" w:hAnsi="Times New Roman"/>
          <w:i/>
          <w:iCs/>
          <w:color w:val="000000"/>
          <w:sz w:val="24"/>
          <w:szCs w:val="24"/>
        </w:rPr>
        <w:t>permanent</w:t>
      </w:r>
      <w:r>
        <w:rPr>
          <w:rFonts w:eastAsia="Times New Roman" w:cs="Times New Roman" w:ascii="Times New Roman" w:hAnsi="Times New Roman"/>
          <w:color w:val="000000"/>
          <w:sz w:val="24"/>
          <w:szCs w:val="24"/>
        </w:rPr>
        <w:t xml:space="preserve"> basis, and continue to maintain its firm service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720" w:start="0" w:end="0"/>
        <w:jc w:val="both"/>
        <w:rPr/>
      </w:pPr>
      <w:r>
        <w:rPr>
          <w:rFonts w:eastAsia="Times New Roman" w:cs="Times New Roman" w:ascii="Times New Roman" w:hAnsi="Times New Roman"/>
          <w:color w:val="000000"/>
          <w:sz w:val="24"/>
          <w:szCs w:val="24"/>
        </w:rPr>
        <w:t>Additionally, a number of transmission providers deem a change in a source or sink behind a receipt or delivery point to be a change in service that converts a firm service agreement to a nonfirm priority</w:t>
      </w:r>
      <w:r>
        <w:rPr>
          <w:rStyle w:val="FootnoteReference"/>
        </w:rPr>
        <w:footnoteReference w:id="48"/>
      </w:r>
      <w:r>
        <w:rPr>
          <w:rFonts w:eastAsia="Times New Roman" w:cs="Times New Roman" w:ascii="Times New Roman" w:hAnsi="Times New Roman"/>
          <w:color w:val="000000"/>
          <w:sz w:val="24"/>
          <w:szCs w:val="24"/>
        </w:rPr>
        <w:t xml:space="preserve"> or requires a new reservation (at an additional charge) under nonfirm service.  The Commission should clarify that merely changing the source or sink is not a change in service if there is no change to the receipt or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8.</w:t>
        <w:tab/>
        <w:t>Eliminate transaction-specific deposits.</w:t>
      </w:r>
      <w:r>
        <w:rPr>
          <w:rFonts w:eastAsia="Times New Roman" w:cs="Times New Roman" w:ascii="Times New Roman" w:hAnsi="Times New Roman"/>
          <w:color w:val="000000"/>
          <w:sz w:val="24"/>
          <w:szCs w:val="24"/>
        </w:rPr>
        <w:t xml:space="preserve">  Creditworthy customers should not be subject to transaction-specific deposits where they can establish a long-term security arrangement with a transmission provider.  The requirement to provide a deposit for a short-term firm transaction results in many transactions not occurring because of the time involved in wire-transferring the deposit and the time it takes the Provider to confirm that the deposit has been received.  This is being used by a number of Providers as another reason to deny service.  The Commission should eliminate this requirement.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9.</w:t>
        <w:tab/>
        <w:t>Time-stamping</w:t>
      </w:r>
      <w:r>
        <w:rPr>
          <w:rFonts w:eastAsia="Times New Roman" w:cs="Times New Roman" w:ascii="Times New Roman" w:hAnsi="Times New Roman"/>
          <w:color w:val="000000"/>
          <w:sz w:val="24"/>
          <w:szCs w:val="24"/>
        </w:rPr>
        <w:t>.  Because the timing of reservations is key to many bumping and curtailment issues, the Commission needs to provide an exact definition of a reservation “time stamp.”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2160" w:start="0" w:end="0"/>
        <w:jc w:val="both"/>
        <w:rPr/>
      </w:pPr>
      <w:r>
        <w:rPr>
          <w:rFonts w:eastAsia="Times New Roman" w:cs="Times New Roman" w:ascii="Times New Roman" w:hAnsi="Times New Roman"/>
          <w:b/>
          <w:bCs/>
          <w:i/>
          <w:iCs/>
          <w:color w:val="000000"/>
          <w:sz w:val="24"/>
          <w:szCs w:val="24"/>
        </w:rPr>
        <w:t>10.</w:t>
        <w:tab/>
        <w:t>Standardized calculation of real power losses.</w:t>
      </w:r>
      <w:r>
        <w:rPr>
          <w:rFonts w:eastAsia="Times New Roman" w:cs="Times New Roman" w:ascii="Times New Roman" w:hAnsi="Times New Roman"/>
          <w:color w:val="000000"/>
          <w:sz w:val="24"/>
          <w:szCs w:val="24"/>
        </w:rPr>
        <w:t xml:space="preserve">  The lack of standardization of the calculation of real power losses makes it more difficult for transmission customers to move power across the grid.  For example, some utilities make the calculation of the receipt quantity while others make it off of the delivery quantity.  Some utilities require a reservation of transmission capacity for losses, while others do not.  Some charge a transmission charge for losses, others do not.  Some transmission providers follow conventional rounding rules, rounding to the nearest whole megawatt, while others require that even 0.1 MW be rounded up to the next whole megawatt.</w:t>
      </w:r>
      <w:r>
        <w:rPr>
          <w:rStyle w:val="FootnoteReference"/>
        </w:rPr>
        <w:footnoteReference w:id="49"/>
      </w:r>
      <w:r>
        <w:rPr>
          <w:rFonts w:eastAsia="Times New Roman" w:cs="Times New Roman" w:ascii="Times New Roman" w:hAnsi="Times New Roman"/>
          <w:color w:val="000000"/>
          <w:sz w:val="24"/>
          <w:szCs w:val="24"/>
        </w:rPr>
        <w:t xml:space="preserve">  The Commission should clarify that the calculation of and accounting for power losses should be standardized nationally.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the foregoing reasons, Petitioners respectfully ask the Commission to undertake expeditiously the rulemaking proceedings requested herein.</w:t>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43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Jeffrey D. Watkiss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20006-1872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828-5800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223-1225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dwatkiss@bracepatt.com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COUNSEL TO PETITIONERS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3"/>
          <w:headerReference w:type="first" r:id="rId4"/>
          <w:footerReference w:type="default" r:id="rId5"/>
          <w:footnotePr>
            <w:numFmt w:val="decimal"/>
          </w:footnotePr>
          <w:type w:val="nextPage"/>
          <w:pgSz w:w="12240" w:h="15840"/>
          <w:pgMar w:left="1440" w:right="1440" w:gutter="0" w:header="1440" w:top="1992" w:footer="475" w:bottom="102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March 25, 1998</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color w:val="000000"/>
          <w:sz w:val="30"/>
          <w:szCs w:val="30"/>
        </w:rPr>
        <w:t xml:space="preserve">APPENDIX </w:t>
      </w:r>
      <w:r>
        <w:rPr>
          <w:rFonts w:eastAsia="Times New Roman" w:cs="Times New Roman" w:ascii="Times New Roman" w:hAnsi="Times New Roman"/>
          <w:b/>
          <w:bCs/>
          <w:color w:val="000000"/>
          <w:sz w:val="30"/>
          <w:szCs w:val="30"/>
        </w:rPr>
        <w:t>A-2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CORRESPONDENCE &amp; COMMUNICATIONS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0" w:top="1440" w:footer="0" w:bottom="475"/>
          <w:pgNumType w:fmt="decimal"/>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Altra Energy Technologies,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Susan L. Bauch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Vice President and General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Altra Energy Technologies,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1221 Lamar - Suite 950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TX  77010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210-8041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210-8005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sbauch@altranet.com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Automated Power Exchange,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Jack</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Ellis</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Executive Vice President</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Automated Power Exchange, Inc.</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490 Raquel Court</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Los Altos, CA  94022</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(650) 948-0938</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(650) 948-6438 (fax)</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CNG Power Services: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Gary A. Jeffries, Senior Attorney</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CNG Power Services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One Park Ridge Center</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Post Office Box 15746</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Pittsburgh, PA  15244-0726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(412) 787-4268</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(412) 787-4464 (fax)</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Gary_A._Jeffries@esc.cng.com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Coalition for a Competitive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Electric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Jeffrey D. Watkiss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20006-1872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828-5800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223-1225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dwatkiss@bracepatt.com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Eclipse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J.Q. Delap, Jr.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Eclipse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333 N. Sam Houston Parkway East, Suite 610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TX  77060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(281) 445-5800 Ext.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(281) 445-7181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circajqd@flash.net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ELCON: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John Anderson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ELCON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1333 H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West Tower, 8th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Washington, DC  20005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682-1390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(202) 289-6370</w:t>
      </w:r>
      <w:r>
        <w:rPr>
          <w:rFonts w:eastAsia="Times New Roman" w:cs="Times New Roman" w:ascii="Times New Roman" w:hAnsi="Times New Roman"/>
          <w:color w:val="000000"/>
          <w:sz w:val="24"/>
          <w:szCs w:val="24"/>
        </w:rPr>
        <w:t xml:space="preserve">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ELCON:</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Sara D. Schotland</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Cleary, Gottlieb, Steen &amp; Hamilton</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2000 Pennsylvania Avenue, N.W.</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20006</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974-1500</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(202) 974-1999 (fax)</w:t>
        <w:tab/>
      </w:r>
      <w:r>
        <w:rPr>
          <w:rFonts w:eastAsia="Times New Roman" w:cs="Times New Roman" w:ascii="Times New Roman" w:hAnsi="Times New Roman"/>
          <w:i/>
          <w:iCs/>
          <w:color w:val="000000"/>
          <w:sz w:val="24"/>
          <w:szCs w:val="24"/>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sschotland@cgsh.com</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color w:val="000000"/>
          <w:sz w:val="24"/>
          <w:szCs w:val="24"/>
        </w:rPr>
        <w:t>For Electric Clearinghouse, Inc.</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Destec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Peter G. Esposito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Vice President &amp; Regulatory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NGC Corporation</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1181 Gothic Corridor</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Crested Butte, CO  81224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(970) 349-2080</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(970) 349-2082 (fax)</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pges@ngccorp.com</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Electric Clearinghouse, Inc.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Destec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Kathryn L. Patton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Director &amp; Regulatory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NGC Corporation</w:t>
      </w:r>
    </w:p>
    <w:p>
      <w:pPr>
        <w:sectPr>
          <w:footnotePr>
            <w:numFmt w:val="decimal"/>
          </w:footnotePr>
          <w:type w:val="continuous"/>
          <w:pgSz w:w="12240" w:h="15840"/>
          <w:pgMar w:left="1440" w:right="1440" w:gutter="0" w:header="0" w:top="1440" w:footer="0" w:bottom="475"/>
          <w:cols w:num="2" w:space="720" w:equalWidth="true" w:sep="false"/>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1000 Louisiana, Suite 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TX  77002-5050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507-3761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507-6834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klpa@ngccorp.com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Electric Clearinghouse,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 D. Weissman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Kyle E. Chadwick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Morrison &amp; Foerster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2000 Pennsylvania Avenue,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Suite 5500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887-1500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887-0763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Engage Energy US, 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Susan W. Ginsberg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Director, Regulatory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Engage Energy US, 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2000 M Street, N.W. (Suite 300)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331-4665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331-4617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susan.ginsberg@coastalcorp.com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Engage Energy US, 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Mark Stiers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Vice President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Engage Energy US, 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3000 Town Center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Suite 2800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Southfield, MI 48075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(248) 304-3230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(248) 304-3242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mark.stiers@engageengergy.com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color w:val="000000"/>
          <w:sz w:val="24"/>
          <w:szCs w:val="24"/>
        </w:rPr>
        <w:t>For Enron Power Marketing, Inc.:</w:t>
      </w:r>
      <w:r>
        <w:rPr>
          <w:rFonts w:eastAsia="Times New Roman" w:cs="Times New Roman" w:ascii="Times New Roman" w:hAnsi="Times New Roman"/>
          <w:color w:val="000000"/>
          <w:sz w:val="24"/>
          <w:szCs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Joseph R. Hartsoe</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Vice President, Federal Regulatory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1775 Eye Street, N. W., Suite 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20006-4607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466-9150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955-8496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dbvaz@intr.net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Steven J. Kean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Sr. Vice President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Government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TX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853-1586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646-8160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color w:val="000000"/>
          <w:sz w:val="24"/>
          <w:szCs w:val="24"/>
        </w:rPr>
        <w:t>For Koch Energy Trading, Inc.:</w:t>
      </w:r>
      <w:r>
        <w:rPr>
          <w:rFonts w:eastAsia="Times New Roman" w:cs="Times New Roman" w:ascii="Times New Roman" w:hAnsi="Times New Roman"/>
          <w:color w:val="000000"/>
          <w:sz w:val="24"/>
          <w:szCs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Timothy A. Beverick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 at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Koch Energy Trading,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 Box 2626 (77252-2626)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600 Travis Street (49th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TX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229-5123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(713) 229-5551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beverict@kochind.com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Shamrock Energy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Jon M. Gipson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Shamrock Energy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610 Marshall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Suite 1015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Shreveport, La  71101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(318) 424-3800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(318) 424-3801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Shamrock@Shamrock-energy.com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Sithe Energies,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David L. Schwartz</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Latham &amp; Watkins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1001 Pennsylvania Avenue,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Suite 1300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 C.  20004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637-2125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(202) 637-2201 (fax)</w:t>
      </w:r>
    </w:p>
    <w:p>
      <w:pPr>
        <w:sectPr>
          <w:headerReference w:type="default" r:id="rId10"/>
          <w:footerReference w:type="default" r:id="rId11"/>
          <w:footnotePr>
            <w:numFmt w:val="decimal"/>
          </w:footnotePr>
          <w:type w:val="nextPage"/>
          <w:pgSz w:w="12240" w:h="15840"/>
          <w:pgMar w:left="1440" w:right="1440" w:gutter="0" w:header="1440" w:top="1723" w:footer="475" w:bottom="1027"/>
          <w:pgNumType w:fmt="decimal"/>
          <w:cols w:num="2" w:space="720" w:equalWidth="true" w:sep="false"/>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david.schwartz@lw.com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Sonat Power Marketing L.P.</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Linda Browning</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Director, Legal &amp; Regulatory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Sonat Power Marketing L.P.</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1900 Fifth Avenue North</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Birmingham, AL  35203</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(205) 325-3851</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(205) 325-3757 (fax)</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linda_browning@sonat.com</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Vitol Gas &amp; Electric,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Mitchell D. Carroll, Director of Legal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Jack Ward, Director of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Vitol Gas &amp; Electric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470 Atlantic Avenue, 10th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Boston, MA 02210-2208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(617) 426-0777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(617) 426-3151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mcarrol@vitolge.com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For Williams Energy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David W. Brammer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Regulatory Planning Manager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Williams Energy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One Williams Center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Tulsa, OK  74101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(918) 573-5738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(918) 594-1717 (fax)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dbrammer@wes.twc.com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0" w:top="1440" w:footer="0" w:bottom="475"/>
          <w:pgNumType w:fmt="decimal"/>
          <w:cols w:num="2" w:space="720" w:equalWidth="true" w:sep="false"/>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APPENDIX A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AFFILIATED ORGANIZATIONS &amp;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Altra Energy Technologies,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Automated Power Exchange,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CNG Power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Coalition for a Competitive Electric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Destec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Eclipse Energy,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ELCON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Electric Clearinghouse,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Engage Energy US, 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Koch Energy Trading,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Shamrock Energy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Sithe Energies,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Sonat Power Marketing L.P.</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Vitol Gas &amp; Electric,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Williams Energy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b/>
          <w:bCs/>
          <w:color w:val="000000"/>
          <w:sz w:val="26"/>
          <w:szCs w:val="26"/>
        </w:rPr>
      </w:pPr>
      <w:r>
        <w:rPr/>
      </w:r>
    </w:p>
    <w:p>
      <w:pPr>
        <w:sectPr>
          <w:footnotePr>
            <w:numFmt w:val="decimal"/>
          </w:footnotePr>
          <w:type w:val="continuous"/>
          <w:pgSz w:w="12240" w:h="15840"/>
          <w:pgMar w:left="1440" w:right="1440" w:gutter="0" w:header="0" w:top="1440" w:footer="0" w:bottom="47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 xml:space="preserve">APPENDIX B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144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In this appendix, we present a narrative description of the day-to-day operation of the U.S. wholesale electric market as seen from the perspective of a new entrant power seller, dependent on the transmission lines of traditional electric utilities.  We focus on the increasing asymmetry between the risks (and therefore costs) confronting a new entrant and the thin profit margins  available to it. This asymmetry places incumbent, transmission-owning market participants in a superior competitive position -- an unduly discriminatory position that many incumbents would perpetuate under the shibboleths of reliability and native load.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CURRENT REALITIES OF SELLING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WHEN YOU DON’T OWN THE WIRES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Petitioners represent a diverse group of power market participants:  consumers, marketers, traders, suppliers and producers.  Whether restructuring will actually benefit us depends critically on whether reforms will give new entrant power suppliers access to the market.  Commission Orders No. 888 and No. 889 (the “Open Access Orders”) embody the Commission’s first step toward providing this access.  From the perspective of new entrants, however, the Open Access Orders are falling short of their promise.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Petitioners’ experience under the Open Access Orders makes two points clear.  Just as in the gas industry, an efficient, user-friendly and competitively priced market in bulk electric power will not develop unless and until the Commission operationally unbundles the wires business from the potentially competitive power merchant business.  Second, the Open Access Orders cannot overcome the serious structural and institutional barriers to competition in the wholesale electricity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Transmission-owning utilities still solidly dominate the wholesale market and, with few exceptions, monopolize the retail market.  While many wholesale transactions take place, those involving market participants who do not directly own or control transmission are generally “booked out” before physical delivery.  They don’t go to physical delivery because firm access to transmission capacity isn’t available.  Under the Open Access Orders, transmission providers maintain the incentive to under-report available transmission capability (“ATC”), limiting the ability of others to move power commercially.  They are able to use opportunistic scheduling purportedly on behalf of native load to block transactions by competitors and thereby dominate arbitrage between destination markets, denying new entrants, and potential competitors any chance to compete.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COMMISSION POLICY GOAL VERSUS MARKET REALITIES</w:t>
      </w:r>
    </w:p>
    <w:p>
      <w:pPr>
        <w:sectPr>
          <w:footnotePr>
            <w:numFmt w:val="decimal"/>
          </w:footnotePr>
          <w:type w:val="nextPage"/>
          <w:pgSz w:w="12240" w:h="15840"/>
          <w:pgMar w:left="1440" w:right="1440" w:gutter="0" w:header="0" w:top="1440" w:footer="0" w:bottom="47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1440"/>
        <w:jc w:val="both"/>
        <w:rPr>
          <w:rFonts w:ascii="Times New Roman" w:hAnsi="Times New Roman" w:eastAsia="Times New Roman" w:cs="Times New Roman"/>
          <w:b/>
          <w:bCs/>
          <w:i/>
          <w:i/>
          <w:iCs/>
          <w:color w:val="000000"/>
          <w:sz w:val="28"/>
          <w:szCs w:val="28"/>
        </w:rPr>
      </w:pPr>
      <w:r>
        <w:rPr>
          <w:rFonts w:eastAsia="Times New Roman" w:cs="Times New Roman" w:ascii="Times New Roman" w:hAnsi="Times New Roman"/>
          <w:b/>
          <w:bCs/>
          <w:i/>
          <w:iCs/>
          <w:color w:val="000000"/>
          <w:sz w:val="28"/>
          <w:szCs w:val="28"/>
        </w:rPr>
        <w:t>Open Access Has Not Created a Freely Traded Wholesale Market in Electricity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216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We are in the power market 24 hours per day.  From this experience, we can report to the Commission three widespread market failings: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Buyers and sellers of electricity persistently find themselves unable to consummate transactions for which transmission capability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Transmission owners use their common ownership of generation and transmission facilities routinely to capture nearly all arbitrage opportunities.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Transmission-owning utilities are withholding large quantities of transfer capability under the shield of native load, preventing third-party access.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Why do these failings persist?  First, many transmission owners are not surprisingly using their ownership of the wires to project their power market monopolies as far as possible into the future.  Transmission personnel continue to be allowed to purchase power on behalf of retail load.  These employees remain in positions where they can cause transmission capacity to be “needed by native load” and not available to competitors. Moreover, since every third-party transaction over a transmission-owning utility’s wires means more potential competition in power sales, transmission owners have an incentive to limit rather than maximize the wires’ capacity available to third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perverse incentives are exacerbated by information deficits that prevent transmission customers or the Commission from catching utilities at the game of </w:t>
      </w:r>
      <w:r>
        <w:rPr>
          <w:rFonts w:eastAsia="Times New Roman" w:cs="Times New Roman" w:ascii="Times New Roman" w:hAnsi="Times New Roman"/>
          <w:i/>
          <w:iCs/>
          <w:color w:val="000000"/>
          <w:sz w:val="24"/>
          <w:szCs w:val="24"/>
        </w:rPr>
        <w:t>minimizing</w:t>
      </w:r>
      <w:r>
        <w:rPr>
          <w:rFonts w:eastAsia="Times New Roman" w:cs="Times New Roman" w:ascii="Times New Roman" w:hAnsi="Times New Roman"/>
          <w:color w:val="000000"/>
          <w:sz w:val="24"/>
          <w:szCs w:val="24"/>
        </w:rPr>
        <w:t xml:space="preserve"> ATC.  Information is scarce for at least three reasons:  (1) broad swaths of reservation and scheduling are allowed to take place off-OASIS; (2) transactions that appear on OASIS are not timely or accurately posted; and (3) auditing and enforcing the accuracy of ATC postings after the fact is difficult and of no prophylactic or remedial value to new entrants.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These obstacles to competition are made worse by the absence of a meaningful open-access enforcement program. New entrants have had access only to the cumbersome and seldom timely complaint process for redressing anticompetitive abuses of OASIS and the Open Access Orders. This approach cannot work.  Transmission customers cannot complain about violations they cannot see; the risk that subtle forms of discrimination will be detected is inconsequential for transmission owners. Further, complaint-based remedies are always too little, too late: The transaction is lost by the time a phone call to the Commission’s Enforcement Task Force can be made.  Finally, our complaints invite retaliation and further discrimination.</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720"/>
        <w:jc w:val="both"/>
        <w:rPr>
          <w:rFonts w:ascii="Times New Roman" w:hAnsi="Times New Roman" w:eastAsia="Times New Roman" w:cs="Times New Roman"/>
          <w:b/>
          <w:bCs/>
          <w:i/>
          <w:i/>
          <w:iCs/>
          <w:color w:val="000000"/>
          <w:sz w:val="28"/>
          <w:szCs w:val="28"/>
        </w:rPr>
      </w:pPr>
      <w:r>
        <w:rPr>
          <w:rFonts w:eastAsia="Times New Roman" w:cs="Times New Roman" w:ascii="Times New Roman" w:hAnsi="Times New Roman"/>
          <w:b/>
          <w:bCs/>
          <w:i/>
          <w:iCs/>
          <w:color w:val="000000"/>
          <w:sz w:val="28"/>
          <w:szCs w:val="28"/>
        </w:rPr>
        <w:t>Firm and Nonfirm Transmission Capacity Is Being Kept Off the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Far more transmission capability is physically available than is being posted or released for sale.  The discrepancy is difficult to quantify; yet, in many instances, the gap is large.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1.</w:t>
        <w:tab/>
        <w:t>Unreasonably conservative base calculations of ATC and TTC.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Transfer capability is being substantially underestimated.  Pervasive under-reporting of ATC is evidenced by the fact that many neighboring utilities maintain persistent and large inconsistencies in reported ATC over the same interfaces in the same directions.</w:t>
      </w:r>
      <w:r>
        <w:rPr>
          <w:rStyle w:val="FootnoteReference"/>
        </w:rPr>
        <w:footnoteReference w:id="50"/>
      </w:r>
      <w:r>
        <w:rPr>
          <w:rFonts w:eastAsia="Times New Roman" w:cs="Times New Roman" w:ascii="Times New Roman" w:hAnsi="Times New Roman"/>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Under today’s Open Access Rules, transmission owners enjoy unchecked discretion to define the capabilities of their networks.  Neither the industry nor the Commission has generally accepted methods for deriving a transmission reliability margin (TRM), which a utility may reasonably subtract from TTC to arrive at ATC.  Nor are there accepted engineering standards for determining the loading capacity of an interface that is needed to maintain system reliability.  Neither this Commission nor any other independent entity audits, correlates or double-checks utilities’ total or available transfer capability estimates either before or after the fact.  Customers cannot perform this task since the underlying data are not available on OASIS.</w:t>
      </w:r>
      <w:r>
        <w:rPr>
          <w:rStyle w:val="FootnoteReference"/>
        </w:rPr>
        <w:footnoteReference w:id="51"/>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As retail unbundling occurs and formerly captive customers are up for grabs, incumbent utilities will face increasing competitive pressures to favor their own or affiliated companies.  One way for a vertically integrated utility to game the current open-access structure is simply to take local generation capacity offline and replace it with imports on behalf of native load.  This strategy causes extra congestion on the interfaces over which the utility imports power, which further restricts the ability of competing wholesale (and retail) suppliers to wheel into or through the system.  Meanwhile, the transmission owner continues to enjoy primary scheduling priority on these constrained interfaces when it schedules on behalf of captive load.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Another, more straightforward method of intentionally depressing ATC estimates is for a utility to arrange its calculations so that it withholds a greater capacity benefit margin (“CBM”) or TRM than its maximum, good faith estimate of its needs.  Transmission owners have every incentive to set aside more interface capacity for native load customers than they need, in order to maximize their own flexibility and minimize the use of their systems by third parties.  Further, since capacity that a transmission owner reserves for “native load” is off OASIS, there is no effective check on reserving more than will actually be required.  Finally, even though transmission owners are theoretically prohibited from using capacity reserved for native load to make off-system sales, there is no realistic chance of detecting such violations under today’s system of enforcement.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routinely see utilities reserve interface ATC to import power for native load and then turn around and export an equal amount of power, at a higher price, to buyers on another side of their systems.  For scheduling purposes, this power typically is “tagged” as coming from units located inside the exporting utility’s service territory and exported over point-to-point transmission service.  In reality, of course, a net power transfer is occurring across the transmission provider’s system from a low-cost market to a higher-cost one.  The transmission owner thus exploits capacity reserved for native load to deny a competitor an arbitrage and to sell above market to buyers blocked from purchasing elsewhere.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2.</w:t>
        <w:tab/>
        <w:t>Systematic failure to post timely information on OASIS.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Equal access to accurate, real-time information on transmission capability is a cornerstone of the Commission’s plan to ensure comparable service.  The Petitioners are unaware of a </w:t>
      </w:r>
      <w:r>
        <w:rPr>
          <w:rFonts w:eastAsia="Times New Roman" w:cs="Times New Roman" w:ascii="Times New Roman" w:hAnsi="Times New Roman"/>
          <w:i/>
          <w:iCs/>
          <w:color w:val="000000"/>
          <w:sz w:val="24"/>
          <w:szCs w:val="24"/>
        </w:rPr>
        <w:t>single</w:t>
      </w:r>
      <w:r>
        <w:rPr>
          <w:rFonts w:eastAsia="Times New Roman" w:cs="Times New Roman" w:ascii="Times New Roman" w:hAnsi="Times New Roman"/>
          <w:color w:val="000000"/>
          <w:sz w:val="24"/>
          <w:szCs w:val="24"/>
        </w:rPr>
        <w:t xml:space="preserve"> OASIS node that fully complies with the requirement to post the availability of hourly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Some operators make their initial ATC determination on a daily basis (and update it only sporadically); others post a single presumptive ATC value for a month or longer.  A utility that calculates its initial ATC value based on a daily average will significantly understate availability for some hours of each day while overstating for others.  A utility that posts a single value for a month or season (which typically is derived from a worst case scenario for peak load during the period) invariably under reports availability for </w:t>
      </w:r>
      <w:r>
        <w:rPr>
          <w:rFonts w:eastAsia="Times New Roman" w:cs="Times New Roman" w:ascii="Times New Roman" w:hAnsi="Times New Roman"/>
          <w:i/>
          <w:iCs/>
          <w:color w:val="000000"/>
          <w:sz w:val="24"/>
          <w:szCs w:val="24"/>
        </w:rPr>
        <w:t>all but the peak hour</w:t>
      </w:r>
      <w:r>
        <w:rPr>
          <w:rFonts w:eastAsia="Times New Roman" w:cs="Times New Roman" w:ascii="Times New Roman" w:hAnsi="Times New Roman"/>
          <w:color w:val="000000"/>
          <w:sz w:val="24"/>
          <w:szCs w:val="24"/>
        </w:rPr>
        <w:t>.</w:t>
      </w:r>
      <w:r>
        <w:rPr>
          <w:rStyle w:val="FootnoteReference"/>
        </w:rPr>
        <w:footnoteReference w:id="5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It is our experience that OASIS node compliance has </w:t>
      </w:r>
      <w:r>
        <w:rPr>
          <w:rFonts w:eastAsia="Times New Roman" w:cs="Times New Roman" w:ascii="Times New Roman" w:hAnsi="Times New Roman"/>
          <w:i/>
          <w:iCs/>
          <w:color w:val="000000"/>
          <w:sz w:val="24"/>
          <w:szCs w:val="24"/>
        </w:rPr>
        <w:t>deteriorated</w:t>
      </w:r>
      <w:r>
        <w:rPr>
          <w:rFonts w:eastAsia="Times New Roman" w:cs="Times New Roman" w:ascii="Times New Roman" w:hAnsi="Times New Roman"/>
          <w:color w:val="000000"/>
          <w:sz w:val="24"/>
          <w:szCs w:val="24"/>
        </w:rPr>
        <w:t xml:space="preserve"> in recent months. (Transmission owners appear to have concluded that the Commission is not serious about enforcing the rules.)  Increasingly, we find ourselves arranging transactions in reliance on posted ATC values only to have transmission personnel tell us later, when we try to reserve the posted ATC, that it is actually not available either because it never was available in the first place, or because it had been diverted to native load without disclosure on OASIS.  Many of us have invested substantial time and effort into arranging a transaction, and sometimes have signed contracts before discovering that we could not perform for want of transmission.  Our only alternative is to buy transmission rights well in advance and run the risk that the underlying transaction does not occur.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216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3.</w:t>
        <w:tab/>
        <w:t>“Flooding” valuable contract paths with nonfirm service for native load.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 owners are crowding out competitors by strategically reserving nonfirm network and point-to-point service.  In the typical scheme, a utility will tie-up a key interface on its border by reserving nonfirm network service to purchase power from a contiguous low-cost supply area.  The utility thereby blocks other purchasers from accessing the low-cost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noted earlier, the same utility often will then export power from its own resources to buyers on another side of its system, scheduling point-to-point service from its own generating units.  The effect is to capture for the benefit of the transmission-owning utility of an arbitrage transaction made possible solely by gaming the native load preferences.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1440" w:end="0"/>
        <w:jc w:val="both"/>
        <w:rPr>
          <w:rFonts w:ascii="Times New Roman" w:hAnsi="Times New Roman" w:eastAsia="Times New Roman" w:cs="Times New Roman"/>
          <w:b/>
          <w:bCs/>
          <w:i/>
          <w:i/>
          <w:iCs/>
          <w:color w:val="000000"/>
          <w:sz w:val="28"/>
          <w:szCs w:val="28"/>
        </w:rPr>
      </w:pPr>
      <w:r>
        <w:rPr>
          <w:rFonts w:eastAsia="Times New Roman" w:cs="Times New Roman" w:ascii="Times New Roman" w:hAnsi="Times New Roman"/>
          <w:b/>
          <w:bCs/>
          <w:i/>
          <w:iCs/>
          <w:color w:val="000000"/>
          <w:sz w:val="28"/>
          <w:szCs w:val="28"/>
        </w:rPr>
        <w:t xml:space="preserve">Posted Transmission Capability Is Unreliable, Difficult to Access, and Insufficiently Liquid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1.</w:t>
        <w:tab/>
        <w:t>The unreliability of ATC adds to transaction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Commission recognized in Order No. 889-A that “[t]he OASIS and the Commission’s functional unbundling policy depend on customers being able to rely upon the accuracy of ATC postings.”  III FERC Stats. &amp; Regs. at 30,565.  Our experience to date prevents us from relying on the accuracy of ATC postines.  OASIS node operators have made computer-aided OASIS searching impossible by disregarding the mandated computer-to-computer protocols and by listing quirky, nonstandard types of service in violation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w:t>
      </w:r>
      <w:r>
        <w:rPr>
          <w:rStyle w:val="FootnoteReference"/>
        </w:rPr>
        <w:footnoteReference w:id="5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As a practical matter, the dearth of accurate and accessible information has a crippling effect on the ability to complete transactions.  Recent analyses show that electric power is the </w:t>
      </w:r>
      <w:r>
        <w:rPr>
          <w:rFonts w:eastAsia="Times New Roman" w:cs="Times New Roman" w:ascii="Times New Roman" w:hAnsi="Times New Roman"/>
          <w:i/>
          <w:iCs/>
          <w:color w:val="000000"/>
          <w:sz w:val="24"/>
          <w:szCs w:val="24"/>
        </w:rPr>
        <w:t>single most volatile</w:t>
      </w:r>
      <w:r>
        <w:rPr>
          <w:rFonts w:eastAsia="Times New Roman" w:cs="Times New Roman" w:ascii="Times New Roman" w:hAnsi="Times New Roman"/>
          <w:color w:val="000000"/>
          <w:sz w:val="24"/>
          <w:szCs w:val="24"/>
        </w:rPr>
        <w:t xml:space="preserve"> commodity traded in interstate commerce.</w:t>
      </w:r>
      <w:r>
        <w:rPr>
          <w:rStyle w:val="FootnoteReference"/>
        </w:rPr>
        <w:footnoteReference w:id="54"/>
      </w:r>
      <w:r>
        <w:rPr>
          <w:rFonts w:eastAsia="Times New Roman" w:cs="Times New Roman" w:ascii="Times New Roman" w:hAnsi="Times New Roman"/>
          <w:color w:val="000000"/>
          <w:sz w:val="24"/>
          <w:szCs w:val="24"/>
        </w:rPr>
        <w:t xml:space="preserve">  Success in trading in such a market requires quick action, particularly for short-term transactions.  When posted information is unreliable, fast action is impossible.  Because profit margins are thin, competitive sellers avoid selling into or through parts of the country where posted ATC is unreliable. Alternatively, we are forced to arrange transmission through more circuitous or expensive routes to avoid a problem area, increasing transaction costs, driving margins down further.  Potentially efficient trades are not made and consumers are injured.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2.</w:t>
        <w:tab/>
        <w:t>Opportunistic scheduling for native load by transmission personnel with unavoidable conflicts of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Posted ATC too often turns out to be unavailable to customers for reasons allegedly related to native load scheduling, but which are actually attributable to a transmission owner’s interest in thwarting a competitor’s transaction in order to preserve sales for its wholesale generation affiliate. The continued integration of transmission and power generation and purchasing for retail load makes this possible.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Transmission customers have every reason to suspect that strategic scheduling decisions by transmission personnel to favor their affiliated generation functions -- or simply a passive resistance to redispatching to facilitate third-party transactions -- distort competition and market forces on a regular basis.  In virtually every transaction, prudent buyers and new entrant sellers must factor into their prices the risk that a transmission owner will adjust its scheduling to block their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3.</w:t>
        <w:tab/>
        <w:t>No Service Is Really Firm for New Entrants under NERC’s Security Coordinator Scheme.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Open Access Orders anticipate an orderly, transparent market for transmission in which providers serve all comers in a priority scheme approved by the Commission.  Purchasers of firm service are to be entitled to their contractual transmission rights absent an “electrical emergency”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 “other unforeseen condition” that threatens the “reliable operation” of the system over which firm service was reserved.  This assurance of firmness is critical.  If a marketer commits to deliver power to a wholesale customer on a firm basis and cannot deliver because the transmission is curtailed, the marketer is generally subject to contractual damages or penalties.  These penalties can rapidly erode the thin profit margins of competitive power sellers.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order and transparency contemplated by the Open Access Orders is increasingly defeated and made chaotic by the recent introduction of Security Coordinators that administer NERC operating policies for tagging and curtailing “firm” transactions pursuant to line loading relief protocols never filed with or approved by the Commission.  These Security Coordinators target the  transactions of new entrants -- and not native load service -- for curtailment when the transmission provider has overbooked its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4.</w:t>
        <w:tab/>
        <w:t>Unreasonable rules and practices for scheduling and reserving firm service pile on transaction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most serious drawback of </w:t>
      </w:r>
      <w:r>
        <w:rPr>
          <w:rFonts w:eastAsia="Times New Roman" w:cs="Times New Roman" w:ascii="Times New Roman" w:hAnsi="Times New Roman"/>
          <w:i/>
          <w:iCs/>
          <w:color w:val="000000"/>
          <w:sz w:val="24"/>
          <w:szCs w:val="24"/>
        </w:rPr>
        <w:t>firm</w:t>
      </w:r>
      <w:r>
        <w:rPr>
          <w:rFonts w:eastAsia="Times New Roman" w:cs="Times New Roman" w:ascii="Times New Roman" w:hAnsi="Times New Roman"/>
          <w:color w:val="000000"/>
          <w:sz w:val="24"/>
          <w:szCs w:val="24"/>
        </w:rPr>
        <w:t xml:space="preserve"> service is the Commission’s present treatment of long-term firm service over secondary receipt and delivery points.  Secondary-point long-term service is demoted to the lowest priority of nonfirm for both scheduling and curtailment purposes.  Such a harsh penalty for a change in a long-term reservation unnecessarily denies flexibility to new entrants (power marketers and other market participants not eligible to use network service).  At the same time, this secondary-point policy imposes unnecessary reservation and scheduling transaction costs on new entrants.  In order to retain a level of security equal to other nonfirm uses, the new entrants are forced to reserve new service for each secondary path, incurring an extra set of reservation and/or scheduling costs for what is really no different from an economy purchase that a network customer (or transmission owner) can make at no extra cost.  This defies the concept of service comparability. The Commission’s concern that point-to-point service over secondary interfaces should not have a </w:t>
      </w:r>
      <w:r>
        <w:rPr>
          <w:rFonts w:eastAsia="Times New Roman" w:cs="Times New Roman" w:ascii="Times New Roman" w:hAnsi="Times New Roman"/>
          <w:i/>
          <w:iCs/>
          <w:color w:val="000000"/>
          <w:sz w:val="24"/>
          <w:szCs w:val="24"/>
        </w:rPr>
        <w:t>higher</w:t>
      </w:r>
      <w:r>
        <w:rPr>
          <w:rFonts w:eastAsia="Times New Roman" w:cs="Times New Roman" w:ascii="Times New Roman" w:hAnsi="Times New Roman"/>
          <w:color w:val="000000"/>
          <w:sz w:val="24"/>
          <w:szCs w:val="24"/>
        </w:rPr>
        <w:t xml:space="preserve"> reservation or scheduling priority than economy purchases for network load is sensible.  The appropriate solution, however, is to place secondary-point firm service on an </w:t>
      </w:r>
      <w:r>
        <w:rPr>
          <w:rFonts w:eastAsia="Times New Roman" w:cs="Times New Roman" w:ascii="Times New Roman" w:hAnsi="Times New Roman"/>
          <w:i/>
          <w:iCs/>
          <w:color w:val="000000"/>
          <w:sz w:val="24"/>
          <w:szCs w:val="24"/>
        </w:rPr>
        <w:t>equal</w:t>
      </w:r>
      <w:r>
        <w:rPr>
          <w:rFonts w:eastAsia="Times New Roman" w:cs="Times New Roman" w:ascii="Times New Roman" w:hAnsi="Times New Roman"/>
          <w:color w:val="000000"/>
          <w:sz w:val="24"/>
          <w:szCs w:val="24"/>
        </w:rPr>
        <w:t xml:space="preserve"> footing.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Firm point-to-point service, as it is presently defined, is further flawed in that customers often see the transmission rights that they purchase sold out from under them, or used by the transmission provider.  This is because firm customers that fail to schedule transmission by mid-morning are not given recall rights.  Consequently, they are unable to utilize their rights later in the day on short notice, even though they bought a firm reservation, subject to scheduling fees.  New entrants cannot compete effectively with the transmission owning utilities unless they can purchase truly firm transmission reservations, and can rely on </w:t>
      </w:r>
      <w:r>
        <w:rPr>
          <w:rFonts w:eastAsia="Times New Roman" w:cs="Times New Roman" w:ascii="Times New Roman" w:hAnsi="Times New Roman"/>
          <w:i/>
          <w:iCs/>
          <w:color w:val="000000"/>
          <w:sz w:val="24"/>
          <w:szCs w:val="24"/>
        </w:rPr>
        <w:t>owning</w:t>
      </w:r>
      <w:r>
        <w:rPr>
          <w:rFonts w:eastAsia="Times New Roman" w:cs="Times New Roman" w:ascii="Times New Roman" w:hAnsi="Times New Roman"/>
          <w:color w:val="000000"/>
          <w:sz w:val="24"/>
          <w:szCs w:val="24"/>
        </w:rPr>
        <w:t xml:space="preserve"> firm rights, subject only to physical constraints.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5.</w:t>
        <w:tab/>
        <w:t>Day-ahead nonfirm service is needlessly cumbersome.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entrants incur needless transaction costs because of the nonsensical two-step purchasing process involving both a reservation and a schedule for day-ahead nonfirm service.  This procedure is costly and cumbersome, especially when compared to the single-step process for buying interruptible natural gas transportation service.  Day-ahead nonfirm service can and should be sold on the same, single-step basis as interruptible natural gas transportation, so that scheduling, reservation and charging for service all occur at the same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Further, the rule that nonfirm service can be “bid up” until literally the last minute means that transmission customers attempting to finalize power transactions can never obtain a degree of security in nonfirm transmission.  Together with limitations on how long in advance nonfirm service can be reserved, the uncertainty introduced by the “bid up” rule makes it very difficult for repeat transmission customers to create efficient portfolios of transmission rights over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addition, transmission customers should not be required to pay for nonfirm (or firm) service that is curtailed by any control area.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6.</w:t>
        <w:tab/>
        <w:t>The chaos of scheduling across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To promote the broadest possible destination markets, transmission-scheduling deadlines should be standardized across all systems.  This is not the case today.  Both firm and nonfirm transmission markets alike suffer from a crazy quilt of scheduling deadlines, mismatched between regions, with deadlines that are incompatible with deadlines in economy energy markets.   Moreover, at present, a transmission-owning utility can drag out its response to an urgent request for short-term service to the point that the requester loses the purchase or sale opportunity.  In order to compete effectively in the highly volatile short-term energy markets, new entrants need a response within a definite, commercially reasonable time period to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applications for short-term service, both firm and nonfirm.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7.</w:t>
        <w:tab/>
        <w:t>Summary:  At the end of the trading day</w:t>
      </w:r>
      <w:r>
        <w:rPr>
          <w:rFonts w:eastAsia="Times New Roman" w:cs="Times New Roman" w:ascii="Times New Roman" w:hAnsi="Times New Roman"/>
          <w:i/>
          <w:i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16"/>
          <w:footerReference w:type="default" r:id="rId17"/>
          <w:footnotePr>
            <w:numFmt w:val="decimal"/>
          </w:footnotePr>
          <w:type w:val="nextPage"/>
          <w:pgSz w:w="12240" w:h="15840"/>
          <w:pgMar w:left="1440" w:right="1440" w:gutter="0" w:header="1440" w:top="1723" w:footer="475" w:bottom="102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At the end of the trading day, a new entrant is faced with a significantly different picture of the market from that of the transmission-owning utility trader.  The new entrant sees ATC being wrongly posted, difficult to access and use, and subject to an unquantifiable risk of market manipulation.  Good transactions that should be accommodated fall by the wayside because these transactions are substantially more risky to the non-utility than they are to transmisison-owning utilities.  Risk and uncertainty raise the overall price of supply, which in turn results in fewer total sales at the margin.  Barriers to the cost-effective purchase, use and transfer of transmission rights are blocking the development of efficient power markets by seriously reducing the volume of sales that can go to physical delivery.  If the goal is to promote competition through market entry, then these transactional barriers of bad information, cumbersome reservation and scheduling rules and high transaction costs must first be removed </w:t>
      </w:r>
      <w:r>
        <w:rPr>
          <w:rFonts w:eastAsia="Times New Roman" w:cs="Times New Roman" w:ascii="Times New Roman" w:hAnsi="Times New Roman"/>
          <w:i/>
          <w:iCs/>
          <w:color w:val="000000"/>
          <w:sz w:val="24"/>
          <w:szCs w:val="24"/>
        </w:rPr>
        <w:t>soon.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APPENDIX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INTERIM REPORT OF THE SECRETARY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ENERGY ADVISORY BOARD, TASK FORCE ON</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0" w:top="1440" w:footer="0" w:bottom="47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ELECTRIC SYSTEM RELIABILITY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end"/>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APPENDIX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EXAMPLES OF COMMON ONGOING FORMS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OF TRANSMISSION PROVIDER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b/>
          <w:bCs/>
          <w:i/>
          <w:i/>
          <w:iCs/>
          <w:color w:val="000000"/>
          <w:sz w:val="30"/>
          <w:szCs w:val="30"/>
        </w:rPr>
      </w:pPr>
      <w:r>
        <w:rPr>
          <w:rFonts w:eastAsia="Times New Roman" w:cs="Times New Roman" w:ascii="Times New Roman" w:hAnsi="Times New Roman"/>
          <w:b/>
          <w:bCs/>
          <w:i/>
          <w:iCs/>
          <w:color w:val="000000"/>
          <w:sz w:val="30"/>
          <w:szCs w:val="30"/>
        </w:rPr>
        <w:t>A.</w:t>
        <w:tab/>
        <w:t>Undue Discrimination Masquerading as Service to Native Load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1.</w:t>
        <w:tab/>
        <w:t xml:space="preserve">Parking Native Load Imports to Obtain a Free Wheel. </w:t>
      </w:r>
      <w:r>
        <w:rPr>
          <w:rFonts w:eastAsia="Times New Roman" w:cs="Times New Roman" w:ascii="Times New Roman" w:hAnsi="Times New Roman"/>
          <w:color w:val="000000"/>
          <w:sz w:val="24"/>
          <w:szCs w:val="24"/>
        </w:rPr>
        <w:t xml:space="preserve">A transmission provider can purchase energy for peak service (16 hour schedule) to native load, schedule the import of that energy </w:t>
      </w:r>
      <w:r>
        <w:rPr>
          <w:rFonts w:eastAsia="Times New Roman" w:cs="Times New Roman" w:ascii="Times New Roman" w:hAnsi="Times New Roman"/>
          <w:i/>
          <w:iCs/>
          <w:color w:val="000000"/>
          <w:sz w:val="24"/>
          <w:szCs w:val="24"/>
        </w:rPr>
        <w:t xml:space="preserve">day ahead </w:t>
      </w:r>
      <w:r>
        <w:rPr>
          <w:rFonts w:eastAsia="Times New Roman" w:cs="Times New Roman" w:ascii="Times New Roman" w:hAnsi="Times New Roman"/>
          <w:color w:val="000000"/>
          <w:sz w:val="24"/>
          <w:szCs w:val="24"/>
        </w:rPr>
        <w:t xml:space="preserve">and designate itself as the sink for the transaction.  As it is ostensibly purchasing for native load, it pays no separate transmission charge to import this energy into its service territory.  In the next day </w:t>
      </w:r>
      <w:r>
        <w:rPr>
          <w:rFonts w:eastAsia="Times New Roman" w:cs="Times New Roman" w:ascii="Times New Roman" w:hAnsi="Times New Roman"/>
          <w:i/>
          <w:iCs/>
          <w:color w:val="000000"/>
          <w:sz w:val="24"/>
          <w:szCs w:val="24"/>
        </w:rPr>
        <w:t>hourly</w:t>
      </w:r>
      <w:r>
        <w:rPr>
          <w:rFonts w:eastAsia="Times New Roman" w:cs="Times New Roman" w:ascii="Times New Roman" w:hAnsi="Times New Roman"/>
          <w:color w:val="000000"/>
          <w:sz w:val="24"/>
          <w:szCs w:val="24"/>
        </w:rPr>
        <w:t xml:space="preserve"> market, however, the transmission provider or its marketing affiliate sells its “non-peak energy” to a neighboring control area and will pay only a transmission charge for exporting (but not for importing) this energy.  Compare this with the situation of any other purchaser.  Any other purchaser would not be able to import power scheduled day ahead, without charge, “park” that power, then decide to wheel the energy out the next day in the hourly market.  Because not purchasing for native load, any other purchaser would pay transmission on both wheels, into and out of the initial transmission provider’s system.  During off-peak periods when a transmission provider is selling at wholesale power that it has obtained for a free wheel, its wholesale competitors are severely and unfairly disadvantaged. So long as native load schedules are not posted on OASIS, the practice of reselling in hourly markets power purchased for native load and then parked is difficult to detect and monitor.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Another example, which we find is much more common, is just the opposite of this.  The utility reserves point-to-point out in the day-ahead market designating its “system” as the source.  If forced to tag, it just designates one of its generators.  The utility imports economy power in the hourly market at the native load priority to balance the sale.  This is in effect a loan of power.  And because this is for native load, the utility doesn’t have to abide by the scheduling deadlines in doing this.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2.</w:t>
        <w:tab/>
        <w:t xml:space="preserve">Magnifying the Risks of Point-to-Point Service Relied on by Transmission Dependent Competitors.  </w:t>
      </w:r>
      <w:r>
        <w:rPr>
          <w:rFonts w:eastAsia="Times New Roman" w:cs="Times New Roman" w:ascii="Times New Roman" w:hAnsi="Times New Roman"/>
          <w:color w:val="000000"/>
          <w:sz w:val="24"/>
          <w:szCs w:val="24"/>
        </w:rPr>
        <w:t xml:space="preserve">In </w:t>
      </w:r>
      <w:r>
        <w:rPr>
          <w:rFonts w:eastAsia="Times New Roman" w:cs="Times New Roman" w:ascii="Times New Roman" w:hAnsi="Times New Roman"/>
          <w:i/>
          <w:iCs/>
          <w:color w:val="000000"/>
          <w:sz w:val="24"/>
          <w:szCs w:val="24"/>
        </w:rPr>
        <w:t xml:space="preserve">Madison Gas &amp; Electric Co., </w:t>
      </w:r>
      <w:r>
        <w:rPr>
          <w:rFonts w:eastAsia="Times New Roman" w:cs="Times New Roman" w:ascii="Times New Roman" w:hAnsi="Times New Roman"/>
          <w:color w:val="000000"/>
          <w:sz w:val="24"/>
          <w:szCs w:val="24"/>
        </w:rPr>
        <w:t xml:space="preserve">Docket No. EL97-41-000, a Wisconsin transmission provider bumped Madison’s conditional reservation for short-term point-to-point service from an off-system generation source by designating a new network resource for native load service identified as “long-term” over the same path.  “Long-term” in this instance turned out to be a mere three months, just one month more than Madison's own reservation.  Although the Commission ruled that the new network resource enjoyed a priority under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this scenario demonstrates the ease with which a transmission provider can strategically manipulate network resources being used to serve native load in order to interrupt the transactions of a wholesale competitor selling into its service territory.  To make matters more difficult, the transmission provider failed to provide timely notice to Madison that it had bumped Madison's reservation and took about a week to post information on OASIS showing the decrease that its own network reservation caused in available transmission capability (“ATC”).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3.</w:t>
        <w:tab/>
        <w:t>Bottlenecking Import Interfaces with Native Load in Order to Lessen Competition in Export Market</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 xml:space="preserve">  </w:t>
      </w:r>
      <w:r>
        <w:rPr>
          <w:rFonts w:eastAsia="Times New Roman" w:cs="Times New Roman" w:ascii="Times New Roman" w:hAnsi="Times New Roman"/>
          <w:color w:val="000000"/>
          <w:sz w:val="24"/>
          <w:szCs w:val="24"/>
        </w:rPr>
        <w:t xml:space="preserve">California transmission providers have reserved in point-to-point service for “native load” the lion’s share of import capacity from the Northwest.  At the same time, some of these same transmission providers make large demands on point-to-point export capacity from Southern California into the desert Southwest, making off-system sales from their own generation units.  The relative amounts of imports and exports are difficult to gauge, particularly since, like the overwhelming majority of transmission owners, the California transmission providers persistently neglect to post wholesale purchases for native load on OASIS as required by section 1.11 of the </w:t>
      </w:r>
      <w:r>
        <w:rPr>
          <w:rFonts w:eastAsia="Times New Roman" w:cs="Times New Roman" w:ascii="Times New Roman" w:hAnsi="Times New Roman"/>
          <w:i/>
          <w:iCs/>
          <w:color w:val="000000"/>
          <w:sz w:val="24"/>
          <w:szCs w:val="24"/>
        </w:rPr>
        <w:t>pro forma</w:t>
      </w:r>
      <w:r>
        <w:rPr>
          <w:rFonts w:eastAsia="Times New Roman" w:cs="Times New Roman" w:ascii="Times New Roman" w:hAnsi="Times New Roman"/>
          <w:color w:val="000000"/>
          <w:sz w:val="24"/>
          <w:szCs w:val="24"/>
        </w:rPr>
        <w:t xml:space="preserve"> tariff (defining “Eligible Customer” as “including the Transmission Provider”) and 18 C.F.R. § 37.6(c), (d) and (e)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4.</w:t>
        <w:tab/>
        <w:t xml:space="preserve">Gaming the Florida Border in SERC </w:t>
      </w:r>
      <w:r>
        <w:rPr>
          <w:rFonts w:eastAsia="Times New Roman" w:cs="Times New Roman" w:ascii="Times New Roman" w:hAnsi="Times New Roman"/>
          <w:i/>
          <w:iCs/>
          <w:color w:val="000000"/>
          <w:sz w:val="24"/>
          <w:szCs w:val="24"/>
        </w:rPr>
        <w:t>.</w:t>
      </w:r>
      <w:r>
        <w:rPr>
          <w:rFonts w:eastAsia="Times New Roman" w:cs="Times New Roman" w:ascii="Times New Roman" w:hAnsi="Times New Roman"/>
          <w:color w:val="000000"/>
          <w:sz w:val="24"/>
          <w:szCs w:val="24"/>
        </w:rPr>
        <w:t xml:space="preserve"> In order to sell power into Florida, the seller must transmit through the Integrated Transmission System (ITS) of Georgia, which is jointly owned by four Georgia utilities.  ITS does not operate as an independent system operator and does not offer an ITS-wide transmission service.  Certain of these utilities routinely interrupt or curtail  service for marketers and other transmission customers on the ground that capacity to import power into Georgia is needed to provide service to native load.  At the same time, however, these same transmission-owning utilities offer to sell to the curtailed customer their own generation from within Georgia for export to the Florida market.  The obvious effect is to increase the demand and price for generation within Georgia.  Using transmission in this fashion to increase the value of generation within the ITS would not be profitable for the Georgia utilities if service to all loads were provided on the same basis, under a uniform, open-access tariff.  Likewise, there would not be any incentive to discriminate against imports into the ITS if the generation and transmission of the Georgia utilities were operationally unbundled.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5.</w:t>
      </w:r>
      <w:r>
        <w:rPr>
          <w:rFonts w:eastAsia="Times New Roman" w:cs="Times New Roman" w:ascii="Times New Roman" w:hAnsi="Times New Roman"/>
          <w:color w:val="000000"/>
          <w:sz w:val="24"/>
          <w:szCs w:val="24"/>
        </w:rPr>
        <w:tab/>
      </w:r>
      <w:r>
        <w:rPr>
          <w:rFonts w:eastAsia="Times New Roman" w:cs="Times New Roman" w:ascii="Times New Roman" w:hAnsi="Times New Roman"/>
          <w:b/>
          <w:bCs/>
          <w:i/>
          <w:iCs/>
          <w:color w:val="000000"/>
          <w:sz w:val="24"/>
          <w:szCs w:val="24"/>
        </w:rPr>
        <w:t>Using Valuable Transmission Import Paths to Wheel Power under the Guise of Native Load Priority</w:t>
      </w:r>
      <w:r>
        <w:rPr>
          <w:rFonts w:eastAsia="Times New Roman" w:cs="Times New Roman" w:ascii="Times New Roman" w:hAnsi="Times New Roman"/>
          <w:color w:val="000000"/>
          <w:sz w:val="24"/>
          <w:szCs w:val="24"/>
        </w:rPr>
        <w:t>.  Numerous examples from the OASIS node of a MAIN utility show the utility’s merchant function importing power into the utility’s service territory using network integration service and then simultaneously exporting that power from the utility’s system using point-to-point service, with its system designated as the point of receipt.  The effect is to give the merchant function access to a higher priority of service for the first leg of the wheel by using ATC that is supposed to be available only for native load or wholesale sales within the control area.  The node data shows for example, instances of the utility using "Network Undesignated Transmission Service" to import power into its control area from the Central Illinois, Northern Indiana, and Michigan control areas.  During the same twenty-four hour interval, the OASIS node data shows exports of an equal or greater magnitude from its control area to the American Electric Power and Illinois Power control areas, using point-to-point non-firm hourly transmission service. It appears from this data that utility’s merchant function is effectively wheeling power across the utility’s control area using two separate transactions, one of which is intended for the service of native load customers only, rather than a "through and out" point-to-point service.  Despite recent Commission rulings ordering the utility to cease this "pooling" practice, (</w:t>
      </w:r>
      <w:r>
        <w:rPr>
          <w:rFonts w:eastAsia="Times New Roman" w:cs="Times New Roman" w:ascii="Times New Roman" w:hAnsi="Times New Roman"/>
          <w:i/>
          <w:iCs/>
          <w:color w:val="000000"/>
          <w:sz w:val="24"/>
          <w:szCs w:val="24"/>
        </w:rPr>
        <w:t>i.e</w:t>
      </w:r>
      <w:r>
        <w:rPr>
          <w:rFonts w:eastAsia="Times New Roman" w:cs="Times New Roman" w:ascii="Times New Roman" w:hAnsi="Times New Roman"/>
          <w:color w:val="000000"/>
          <w:sz w:val="24"/>
          <w:szCs w:val="24"/>
        </w:rPr>
        <w:t xml:space="preserve">., system sales) </w:t>
      </w:r>
      <w:r>
        <w:rPr>
          <w:rFonts w:eastAsia="Times New Roman" w:cs="Times New Roman" w:ascii="Times New Roman" w:hAnsi="Times New Roman"/>
          <w:color w:val="000000"/>
          <w:sz w:val="24"/>
          <w:szCs w:val="24"/>
        </w:rPr>
        <w:t>OASIS node data make clear the process is ongoing.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6.</w:t>
        <w:tab/>
        <w:t xml:space="preserve">Tying up Critical Capacity on the WUMS/MAPP Interface for Native Load Growth.  </w:t>
      </w:r>
      <w:r>
        <w:rPr>
          <w:rFonts w:eastAsia="Times New Roman" w:cs="Times New Roman" w:ascii="Times New Roman" w:hAnsi="Times New Roman"/>
          <w:color w:val="000000"/>
          <w:sz w:val="24"/>
          <w:szCs w:val="24"/>
        </w:rPr>
        <w:t xml:space="preserve">MAIN utilities that own the limited import facilities on the eastern-side of the Wisconsin-Upper Michigan (“WUMS”)/MAPP interface have effectively  removed this transmission capacity from nondiscriminatory open-access.  They have done so be characterizing the capacity as “capacity benefit margin” or “CBM” and excluding it from the calculation of ATC or by reserving it for native load growth and, in violation of Orders No. 888 and No. 888-A, not releasing it in the interim for capacity reassignment.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i/>
          <w:i/>
          <w:iCs/>
          <w:color w:val="000000"/>
          <w:sz w:val="30"/>
          <w:szCs w:val="30"/>
        </w:rPr>
      </w:pPr>
      <w:r>
        <w:rPr>
          <w:rFonts w:eastAsia="Times New Roman" w:cs="Times New Roman" w:ascii="Times New Roman" w:hAnsi="Times New Roman"/>
          <w:b/>
          <w:bCs/>
          <w:i/>
          <w:iCs/>
          <w:color w:val="000000"/>
          <w:sz w:val="30"/>
          <w:szCs w:val="30"/>
        </w:rPr>
        <w:t>B.</w:t>
        <w:tab/>
        <w:t>Problems with ATC:  Exclusions, Inaccuracies and Misuses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1.</w:t>
        <w:tab/>
        <w:t xml:space="preserve">Withholding Transmission Capacity for Reserve Purposes.  </w:t>
      </w:r>
      <w:r>
        <w:rPr>
          <w:rFonts w:eastAsia="Times New Roman" w:cs="Times New Roman" w:ascii="Times New Roman" w:hAnsi="Times New Roman"/>
          <w:color w:val="000000"/>
          <w:sz w:val="24"/>
          <w:szCs w:val="24"/>
        </w:rPr>
        <w:t xml:space="preserve">The North American Electric Reliability Council (“NERC”) defines ATC as “the Total Transfer Capability (“TTC”) less the Transmission Reliability Margin (“TRM”), less the sum of existing transmission commitments (which includes retail customer service) and the Capacity Benefit Margin (“CBM”).”  The CBM is defined as “that amount of transmission  transfer capability reserved by load serving entities to ensure access to generation from interconnected systems to meet generation reliability requirements.”  Utilities in many of the NERC regions have withheld CBMs from ATC on the ground that the CBMs are not transmission, subject to open access, but rather are capacity resources needed to serve captive loads.  In some cases the CBMs were withheld pursuant to express tariff provisions and in other instances without tariff authority.  Withholding CBMs in this fashion, pursuant to a tariff provision or otherwise, is in direct conflict with the Commission’s order in </w:t>
      </w:r>
      <w:r>
        <w:rPr>
          <w:rFonts w:eastAsia="Times New Roman" w:cs="Times New Roman" w:ascii="Times New Roman" w:hAnsi="Times New Roman"/>
          <w:i/>
          <w:iCs/>
          <w:color w:val="000000"/>
          <w:sz w:val="24"/>
          <w:szCs w:val="24"/>
        </w:rPr>
        <w:t xml:space="preserve">Duquesne Light Co., </w:t>
      </w:r>
      <w:r>
        <w:rPr>
          <w:rFonts w:eastAsia="Times New Roman" w:cs="Times New Roman" w:ascii="Times New Roman" w:hAnsi="Times New Roman"/>
          <w:color w:val="000000"/>
          <w:sz w:val="24"/>
          <w:szCs w:val="24"/>
        </w:rPr>
        <w:t>71 F.E.R.C. ¶ 61,155 (1995).  In an operationally unbundled environment, where all uses of the transmission system are pursuant to an open-access tariff, OASIS operators would not have an incentive to withhold CBMs from ATC and transmission operators would not have an incentive to hoard CBM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11/25/97 Commission Order on PJM allows the new Fixed Transmission Rights (“FTRs”) to be allocated to current firm network and point-to-point customers, with any “remaining” FTRs to be auctioned (the Supporting Companies must submit a proposal for such auction) (Most marketers to not have any current firm rights.)  In addition, the Supporting Companies have been ordered to submit a proposal for future allocation of their current Capacity Benefit Margin over the interties.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(b)</w:t>
        <w:tab/>
        <w:t>Not Reporting Use of Interface Capacity.  Transmission owning utilities in PJM, MAPP, MAIN and NEPOOL are using critical capacity along their interfaces with other systems or pools and not reporting either the use or its effect on ATC.  This capacity, often referred to as CBM is simply hoarded for use at the discretion of the transmission owners.</w:t>
      </w:r>
      <w:r>
        <w:rPr>
          <w:rFonts w:eastAsia="Times New Roman" w:cs="Times New Roman" w:ascii="Times New Roman" w:hAnsi="Times New Roman"/>
          <w:b/>
          <w:bCs/>
          <w:i/>
          <w:iCs/>
          <w:color w:val="000000"/>
          <w:sz w:val="24"/>
          <w:szCs w:val="24"/>
        </w:rPr>
        <w:t xml:space="preserve"> </w:t>
      </w:r>
    </w:p>
    <w:p>
      <w:pPr>
        <w:sectPr>
          <w:footnotePr>
            <w:numFmt w:val="decimal"/>
          </w:footnotePr>
          <w:type w:val="nextPage"/>
          <w:pgSz w:w="12240" w:h="15840"/>
          <w:pgMar w:left="1440" w:right="1440" w:gutter="0" w:header="0" w:top="1440" w:footer="0" w:bottom="47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2.</w:t>
        <w:tab/>
        <w:t xml:space="preserve">Reserving ATC for the Transmission Provider’s Merchant Acquisitions. </w:t>
      </w:r>
      <w:r>
        <w:rPr>
          <w:rFonts w:eastAsia="Times New Roman" w:cs="Times New Roman" w:ascii="Times New Roman" w:hAnsi="Times New Roman"/>
          <w:color w:val="000000"/>
          <w:sz w:val="24"/>
          <w:szCs w:val="24"/>
        </w:rPr>
        <w:t>A transmission customer reserved transmission for a transaction for hourly energy over a four-to-five hour period for power purchased in the Southwest Power Pool (“SPP”) for resell into the control area of a Mid-Atlantic Interconnected Network (“MAIN”)  transmission provider. The transmission reservation for the transaction was approved by the transmission provider.  When the transmission customer sought to redirect the transaction to another sink in the control area of another MAIN transmission provider, for economic reasons, the transmission provider informed the customer that ATC on the path between SPP and the initial MAIN control area was no longer available and actually had not been available when it was first reserved; according to the transmission provider, the original transaction “should not have flowed.”  In other words, so long as the transaction benefitted the transmission provider's own merchant functions within its control area, the power would be allowed to flow into its own control area.  When the transaction no longer benefited its merchant function, the availability of the identical capacity disappeared.  At no time was the amount of ATC between the utilities in question.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3.</w:t>
        <w:tab/>
        <w:t xml:space="preserve">Inconsistent ATC Determinations.  </w:t>
      </w:r>
      <w:r>
        <w:rPr>
          <w:rFonts w:eastAsia="Times New Roman" w:cs="Times New Roman" w:ascii="Times New Roman" w:hAnsi="Times New Roman"/>
          <w:color w:val="000000"/>
          <w:sz w:val="24"/>
          <w:szCs w:val="24"/>
        </w:rPr>
        <w:t>The transfer capabilities between control areas are often reported inaccurately because each of the control areas are making their determinations on the basis of different or incomplete information.  Reported ATC for the ties between the New York Power Pool (“NYPP”) and the New England Power Pool (“NEPOOL”) for August 27, 1997, is a case in point.  NEPOOL’s transfer limit NYPP-to-NEPOOL was reported as 1300 megawatts.  The actual transfer limit NYPP-to-NEPOOL actually was +/- 700 megawatts due to Central-to-East tie limits in New York.  A regionwide system operator could be expected to possess greater knowledge of the regional grid and its constraints and therefore make more accurate ATC determinations between control areas.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Recently, a marketer had a situation in which a utility did not post ATC on the OASIS and told the trader the ATC postings were simply “not available at all” (although there was ATC available).  Therefore, the marketer was unable to reserve and schedule the hourly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(b)</w:t>
        <w:tab/>
        <w:t>A utility posted 150 MW of ATC available.  The marketer was first in line to request the 150.  The utility later called the marketer and said that it could only have 100 and that 150 was not available, but could not explain why.  The utility said that the marketer should just schedule some amount below the posted ATC, but could not tell the marketer how much below, nor why its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ATC was inaccurate.  The marketer called the utility the next day at 7:00 a.m. and was told that ATC would not be available until later in the morning and that it may not be accurate then.  The utility said it cannot provide the correct amount over the phone because it isn’t sure of the correct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4.</w:t>
        <w:tab/>
        <w:t>Inexplicable Differences in Posted ATC</w:t>
      </w:r>
      <w:r>
        <w:rPr>
          <w:rFonts w:eastAsia="Times New Roman" w:cs="Times New Roman" w:ascii="Times New Roman" w:hAnsi="Times New Roman"/>
          <w:color w:val="000000"/>
          <w:sz w:val="24"/>
          <w:szCs w:val="24"/>
        </w:rPr>
        <w:t>.  A utility in the Southeastern Reliability Council (“SERC”) routinely reports up to 2,000 or 3,000 MW less ATC over its interconnection with a neighboring system than the neighboring system reports for the identical interconnection.  The magnitude of the difference cannot be explained by simply concluding that one transmission provider is more prudent that the other.  At least one of the providers is not accurately reporting ATC.  One utility might be failing to post on OASIS transactions for its native load, or for grandfathered transmission customers, which might explain the persistent differences in ATC vis-a-vis its neighbor to the north.  Alternatively, the under-reporting may be consciously restricting avenues by which competitors could reach lucrative markets to its south, including the Florida peninsula.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On July 29, 1997, relying on a SERC transmission provider's OASIS node that showed approximately 300 MW of north-to-south export capacity over the provider’s intertie to the south, a marketer bought power at wholesale from the transmission provider to sell to an interconnected system to the south.  When the marketer attempted to schedule transmission of the power, however, it was informed by the interconnected system to the south that the north-to-south intertie capacity was only approximately 180 MW and not 300 as reported by the transmission provider that sold the power to the marketer.  The schedule was therefore denied and the marketer  was forced to resell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power back to its seller at a loss.  The large inconsistency in reported ATC across this intertie would not have occurred had the OASIS nodes of these two SERC utilities been operated by a single, integrated regional transmission provider.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5.</w:t>
        <w:tab/>
        <w:t xml:space="preserve">Unreasonable Delays and Vanishing ATC. </w:t>
      </w:r>
      <w:r>
        <w:rPr>
          <w:rFonts w:eastAsia="Times New Roman" w:cs="Times New Roman" w:ascii="Times New Roman" w:hAnsi="Times New Roman"/>
          <w:color w:val="000000"/>
          <w:sz w:val="24"/>
          <w:szCs w:val="24"/>
        </w:rPr>
        <w:t>Many of us have experienced on many occasions unreasonable delays in the reporting of changes to ATC.  Often, the result is that posted ATC disappears when scheduling is attempted.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 xml:space="preserve">Seeking to market daily energy from a mid-Atlantic utility into the control area of a </w:t>
        <w:tab/>
        <w:tab/>
        <w:t xml:space="preserve">southern utility, a transmission customer checked OASIS for transmission capacity </w:t>
        <w:tab/>
        <w:tab/>
        <w:t xml:space="preserve">into the intended southern control area. When it called to confirm the presence of </w:t>
        <w:tab/>
        <w:tab/>
        <w:t xml:space="preserve">ATC, it was routed to a voice mail system  After considerable delay, the transmission </w:t>
        <w:tab/>
        <w:tab/>
        <w:t xml:space="preserve">provider returned the call and said that there was not enough transmission available </w:t>
        <w:tab/>
        <w:tab/>
        <w:t xml:space="preserve">and the transaction from the utility to the southern control area could not flow. When </w:t>
        <w:tab/>
        <w:tab/>
        <w:t xml:space="preserve">confronted with the fact that the transmission provider’s OASIS showed sufficient </w:t>
        <w:tab/>
        <w:tab/>
        <w:t xml:space="preserve">ATC to support the transaction, the southern utility’s scheduler informed the </w:t>
        <w:tab/>
        <w:tab/>
        <w:t xml:space="preserve">transmission customer that:  “We just imported more from that control area and there </w:t>
        <w:tab/>
        <w:tab/>
        <w:t xml:space="preserve">is no longer ATC for your transaction.”  In addition, for a next-day transaction, this </w:t>
        <w:tab/>
        <w:tab/>
        <w:t xml:space="preserve">same utility typically does not return calls until late in the afternoon/early evening, </w:t>
        <w:tab/>
        <w:tab/>
        <w:t xml:space="preserve">which ordinarily forecloses the opportunity for the power marketer to complete the </w:t>
        <w:tab/>
        <w:tab/>
        <w:t>transaction.  This scenario suggests at least three distinct problems: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Neighboring utilities do not agree on the level of ATC between their systems, lending support to the argument that ATC should be regionally determined;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Employees of the purchaser/transmission provider appear to be passing proprietary marketing information to the marketing affiliates of the transmission provider in violation of the standard of conduct.  The purchaser/transmission provider’s marketing affiliates are able to secure transactions with neighboring systems to their benefit and foreclose the opportunity for others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those who found the opportunity first) to engage in transactions;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Staffing at the transmission provider’s desk is insufficient and/or the equipment hardware/software is inadequate to handle the market demands for service on a large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Another regular occurrence is the inaccuracy of posted ATC.  A utility in the ECAR region recently posted monthly firm ATC of 680 MW on a particular interface.  A marketer then submitted three transmission requests totaling 600 MW.  The following day, the marketer checked the ATC once more and saw that 680 MW was still available.  When he then called the transmission representative to check on his request, he was told the ATC was not really available and the request was refused.  When asked why the transmission as posted was not available, the transmission representative chalked it up to a “glitch in [the] computer system.”  The following day the ATC posting was reduced to 30 MW.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Last summer, following the Commission’s July 18, 1998 conference on the performance of OASIS, FERC’s Enforcement Task Force was presented with representative examples of inaccurate ATC postings.  In each case, the Enforcement Task Force investigated the information presented and verified that the reported ATC was inaccurate: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A Midwest utility’s OASIS showed 0 MW of firm ATC available over a specific path for a particular day.  Nevertheless, the utility sold 100 MW of firm transmission over the path the following day.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Although a second Midwest utility’s OASIS showed no nonfirm ATC available over a specific path for a particular day, the utility sold 50 MW of non-firm transmission capacity for the path the next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A request for 50 MW was submitted to a western utility whose OASIS showed 83 MW of monthly firm capacity as available over a specific path.  The request was rejected based on the reason that only 8 MW was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A Southwest utility’s OASIS showed 100 MW of firm daily capacity available over a particular path before </w:t>
      </w:r>
      <w:r>
        <w:rPr>
          <w:rFonts w:eastAsia="Times New Roman" w:cs="Times New Roman" w:ascii="Times New Roman" w:hAnsi="Times New Roman"/>
          <w:i/>
          <w:iCs/>
          <w:color w:val="000000"/>
          <w:sz w:val="24"/>
          <w:szCs w:val="24"/>
        </w:rPr>
        <w:t>and</w:t>
      </w:r>
      <w:r>
        <w:rPr>
          <w:rFonts w:eastAsia="Times New Roman" w:cs="Times New Roman" w:ascii="Times New Roman" w:hAnsi="Times New Roman"/>
          <w:color w:val="000000"/>
          <w:sz w:val="24"/>
          <w:szCs w:val="24"/>
        </w:rPr>
        <w:t xml:space="preserve"> after a request for 39 MW of firm capacity was entered and confirmed.  The utility’s OASIS site indicated that it had not been updated for several weeks.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OASIS of a MAIN utility showed 140 MW of firm monthly ATC available over a specific path for a two month period.  A request was submitted for the two-month period.  The utility denied the request “based on the new MAIN 97 Summer Firm ATC Case” but the ATC remained posted as available.  On another occasion, this same utility showed 1500 MW of firm daily ATC available for an 8 day period over a particular path.  A request for 100 MW of firm weekly service for this path was submitted and rejected due to “no firm transmission available on this path at this time.”  The utility’s OASIS also showed 1500 MW of firm daily ATC available for the next week.  A request submitted for 100 MW for the second week was also rejected based on “no firm transmission available on this path at this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A marketer also had a situation where the transmission operator would not schedule a transaction in which the tag had one incorrect piece of information (even though the correct information was on the schedule and the correct tag information was communicated to the transmission provider before the 20 minute deadline).  The marketer called the operator to ask if he cut off all transactions at the same time and he said he did not have time to talk and we could talk to the supervisor (who was out of town).  After a call from the marketer’s attorney, the utility’s representatives, including the transmission manager and regulatory lawyer, said that the utility was trying to be more responsive to customers.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A marketer called a utility 50 minutes before the hour to reserve and schedule an hourly transaction (the utility’s tariff requires only 20 minutes notice).  Scheduler was told by the transmission provider that he was “too busy” and “didn’t have time to talk” and would not, therefore, schedule the transaction.  The marketer talked to the utility’s Assistant Controller who said it should not have happened.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6.</w:t>
        <w:tab/>
        <w:t xml:space="preserve">Hourly Trading with Certain SERC and SPP Utilities Is Nearly Impossible. </w:t>
      </w:r>
      <w:r>
        <w:rPr>
          <w:rFonts w:eastAsia="Times New Roman" w:cs="Times New Roman" w:ascii="Times New Roman" w:hAnsi="Times New Roman"/>
          <w:color w:val="000000"/>
          <w:sz w:val="24"/>
          <w:szCs w:val="24"/>
        </w:rPr>
        <w:t>Owners of certain large transmission systems in Southeast and Southwest Electric Reliability Council (“SERC” and “SPP”) persistently accept reservations for nonfirm transmission services through, or into, their systems only to deny the requested energy schedule at the very last moment (within one-half hour of the scheduled start time) for hourly transactions.  These transmission providers either lack the staff or the capability to determine ATC and process transmission requests on an hourly basis even though they are legally obligated to offer nonfirm service on an hourly basis.  As a result, these utilities effectively prevent third parties from participating in an hourly market in the SERC and SPP regions.  If these utilities were required to schedule all of their uses of the transmission system in the same manner as third parties, there would be considerable incentive for them to improve the accuracy and timeliness of their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7.</w:t>
        <w:tab/>
        <w:t xml:space="preserve">Failure to Net ATC to Reflect Counterflows. </w:t>
      </w:r>
      <w:r>
        <w:rPr>
          <w:rFonts w:eastAsia="Times New Roman" w:cs="Times New Roman" w:ascii="Times New Roman" w:hAnsi="Times New Roman"/>
          <w:color w:val="000000"/>
          <w:sz w:val="24"/>
          <w:szCs w:val="24"/>
        </w:rPr>
        <w:t>In many regions of the country, transmission customers have been denied transmission service by reason of a transmitting utility failing to recognize capacity made available by a counterflow.  For example, there is approximately 2000 MW of north-to-south capacity connecting the Florida peninsula to the Southeast.  During certain periods of time, the full 2000 MW is in use, and yet Florida, in turn, is exporting power north across the same intertie, thereby creating a counterflow and restoring capacity to the intertie.  Requests to use intertie capacity created by counterflows are routinely denied simply because schedulers do not recognize the counterflow.  This failure deprives consumers of many potentially economic transactions.  Such failures to measure ATC accurately can and should be eliminated by a consolidated open-access tariff administered by a regional transmission system operator.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8.</w:t>
        <w:tab/>
        <w:t xml:space="preserve">Manipulating Strategic Interface Capacity So that It Is Accessible Only to Generating Units Operated by the Transmission Provider or Its Affiliates. </w:t>
      </w:r>
      <w:r>
        <w:rPr>
          <w:rFonts w:eastAsia="Times New Roman" w:cs="Times New Roman" w:ascii="Times New Roman" w:hAnsi="Times New Roman"/>
          <w:color w:val="000000"/>
          <w:sz w:val="24"/>
          <w:szCs w:val="24"/>
        </w:rPr>
        <w:t xml:space="preserve">The system of a Pacific Northwest transmission provider is situated in a strategic position between cheap Northwest hydropower and the higher cost markets in California and the Southwest.  Almost daily, this transmission provider reports that network service is using all of the ATC across its system, including all of the ATC on interconnections to the South into California and Nevada.  It is thus able to capture for itself the opportunity to buy the cheap Northwest hydropower, using network service.  At the same time, however, this same transmission provider frequently offers point-to-point service on a single line leading from one of its generation plants within its system to the California interties  -- capacity that is accessible </w:t>
      </w:r>
      <w:r>
        <w:rPr>
          <w:rFonts w:eastAsia="Times New Roman" w:cs="Times New Roman" w:ascii="Times New Roman" w:hAnsi="Times New Roman"/>
          <w:i/>
          <w:iCs/>
          <w:color w:val="000000"/>
          <w:sz w:val="24"/>
          <w:szCs w:val="24"/>
        </w:rPr>
        <w:t>only</w:t>
      </w:r>
      <w:r>
        <w:rPr>
          <w:rFonts w:eastAsia="Times New Roman" w:cs="Times New Roman" w:ascii="Times New Roman" w:hAnsi="Times New Roman"/>
          <w:color w:val="000000"/>
          <w:sz w:val="24"/>
          <w:szCs w:val="24"/>
        </w:rPr>
        <w:t xml:space="preserve"> to its own generation units and which is often significantly discounted.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30"/>
          <w:szCs w:val="30"/>
        </w:rPr>
        <w:t>C.</w:t>
        <w:tab/>
        <w:t>Violations of Reporting Requirements</w:t>
      </w:r>
      <w:r>
        <w:rPr>
          <w:rFonts w:eastAsia="Times New Roman" w:cs="Times New Roman" w:ascii="Times New Roman" w:hAnsi="Times New Roman"/>
          <w:b/>
          <w:bCs/>
          <w:i/>
          <w:iCs/>
          <w:color w:val="000000"/>
          <w:sz w:val="24"/>
          <w:szCs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1.</w:t>
        <w:tab/>
        <w:t>Failure to Report Transmission Requests on OASIS</w:t>
      </w:r>
      <w:r>
        <w:rPr>
          <w:rFonts w:eastAsia="Times New Roman" w:cs="Times New Roman" w:ascii="Times New Roman" w:hAnsi="Times New Roman"/>
          <w:color w:val="000000"/>
          <w:sz w:val="24"/>
          <w:szCs w:val="24"/>
        </w:rPr>
        <w:t xml:space="preserve">.  On a number of occasions, transmission-owning utilities in MAIN have omitted to report on their OASIS systems transmission requests made by their affiliated marketers as required.  As far as we are aware, these requests were for transactions </w:t>
      </w:r>
      <w:r>
        <w:rPr>
          <w:rFonts w:eastAsia="Times New Roman" w:cs="Times New Roman" w:ascii="Times New Roman" w:hAnsi="Times New Roman"/>
          <w:i/>
          <w:iCs/>
          <w:color w:val="000000"/>
          <w:sz w:val="24"/>
          <w:szCs w:val="24"/>
        </w:rPr>
        <w:t>no</w:t>
      </w:r>
      <w:r>
        <w:rPr>
          <w:rFonts w:eastAsia="Times New Roman" w:cs="Times New Roman" w:ascii="Times New Roman" w:hAnsi="Times New Roman"/>
          <w:i/>
          <w:iCs/>
          <w:color w:val="000000"/>
          <w:sz w:val="24"/>
          <w:szCs w:val="24"/>
        </w:rPr>
        <w:t>t</w:t>
      </w:r>
      <w:r>
        <w:rPr>
          <w:rFonts w:eastAsia="Times New Roman" w:cs="Times New Roman" w:ascii="Times New Roman" w:hAnsi="Times New Roman"/>
          <w:color w:val="000000"/>
          <w:sz w:val="24"/>
          <w:szCs w:val="24"/>
        </w:rPr>
        <w:t xml:space="preserve"> involving bundled retail native load.  In an operationally unbundled environment, this disparate reporting treatment would disappear.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2.</w:t>
        <w:tab/>
        <w:t xml:space="preserve">Failure to Report Details of ATC.  </w:t>
      </w:r>
      <w:r>
        <w:rPr>
          <w:rFonts w:eastAsia="Times New Roman" w:cs="Times New Roman" w:ascii="Times New Roman" w:hAnsi="Times New Roman"/>
          <w:color w:val="000000"/>
          <w:sz w:val="24"/>
          <w:szCs w:val="24"/>
        </w:rPr>
        <w:t>A MAIN utility recently denied most of a marketer’s request for firm annual transmission capacity across a significant interface on the ground that there was not sufficient capacity.  Concurrently, the utility’s marketing affiliate requested and received firm transmission across the same interface, but only for a number of months during the same year.  Contrary to ATC posted on the utility’s OASIS, it turned out that capacity was only available during the months covered by the request of utility’s marketing affiliate.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3.</w:t>
      </w:r>
      <w:r>
        <w:rPr>
          <w:rFonts w:eastAsia="Times New Roman" w:cs="Times New Roman" w:ascii="Times New Roman" w:hAnsi="Times New Roman"/>
          <w:color w:val="000000"/>
          <w:sz w:val="24"/>
          <w:szCs w:val="24"/>
        </w:rPr>
        <w:tab/>
      </w:r>
      <w:r>
        <w:rPr>
          <w:rFonts w:eastAsia="Times New Roman" w:cs="Times New Roman" w:ascii="Times New Roman" w:hAnsi="Times New Roman"/>
          <w:b/>
          <w:bCs/>
          <w:i/>
          <w:iCs/>
          <w:color w:val="000000"/>
          <w:sz w:val="24"/>
          <w:szCs w:val="24"/>
        </w:rPr>
        <w:t xml:space="preserve">Utility Violation of Tagging Commitments.  </w:t>
      </w:r>
      <w:r>
        <w:rPr>
          <w:rFonts w:eastAsia="Times New Roman" w:cs="Times New Roman" w:ascii="Times New Roman" w:hAnsi="Times New Roman"/>
          <w:color w:val="000000"/>
          <w:sz w:val="24"/>
          <w:szCs w:val="24"/>
        </w:rPr>
        <w:t xml:space="preserve">Recent electronic communications among control room staff at MAPP document a regional utility’s admitted practice of “mak[ing] up a set of tags.”  Needless to say, making up tags in response to NERC’s tagging requirements is a luxury that new market entrants do not have access to. </w:t>
      </w:r>
      <w:r>
        <w:rPr>
          <w:rFonts w:eastAsia="Times New Roman" w:cs="Times New Roman" w:ascii="Times New Roman" w:hAnsi="Times New Roman"/>
          <w:b/>
          <w:bCs/>
          <w:color w:val="000000"/>
          <w:sz w:val="24"/>
          <w:szCs w:val="24"/>
        </w:rPr>
        <w:t>[Jolly Hayden looking into this to clarify.]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4.</w:t>
      </w:r>
      <w:r>
        <w:rPr>
          <w:rFonts w:eastAsia="Times New Roman" w:cs="Times New Roman" w:ascii="Times New Roman" w:hAnsi="Times New Roman"/>
          <w:color w:val="000000"/>
          <w:sz w:val="24"/>
          <w:szCs w:val="24"/>
        </w:rPr>
        <w:tab/>
      </w:r>
      <w:r>
        <w:rPr>
          <w:rFonts w:eastAsia="Times New Roman" w:cs="Times New Roman" w:ascii="Times New Roman" w:hAnsi="Times New Roman"/>
          <w:b/>
          <w:bCs/>
          <w:i/>
          <w:iCs/>
          <w:color w:val="000000"/>
          <w:sz w:val="24"/>
          <w:szCs w:val="24"/>
        </w:rPr>
        <w:t xml:space="preserve">Failure to Post Monthly Interconnected Values.  </w:t>
      </w:r>
      <w:r>
        <w:rPr>
          <w:rFonts w:eastAsia="Times New Roman" w:cs="Times New Roman" w:ascii="Times New Roman" w:hAnsi="Times New Roman"/>
          <w:color w:val="000000"/>
          <w:sz w:val="24"/>
          <w:szCs w:val="24"/>
        </w:rPr>
        <w:t>Neither the holding company nor the operating companies of a major SERC member post monthly TTC or ATC values for their interconnections with other systems.  As a result, potential competitors are forced to deal directly with the transmission provider’s staff to ascertain transmission availability.  Not only is this cumbersome, but it also forces the applicant for service to provide commercially valuable information to that staff well in advance of all transactions with terms greater than weekly.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i/>
          <w:i/>
          <w:iCs/>
          <w:color w:val="000000"/>
          <w:sz w:val="30"/>
          <w:szCs w:val="30"/>
        </w:rPr>
      </w:pPr>
      <w:r>
        <w:rPr>
          <w:rFonts w:eastAsia="Times New Roman" w:cs="Times New Roman" w:ascii="Times New Roman" w:hAnsi="Times New Roman"/>
          <w:b/>
          <w:bCs/>
          <w:i/>
          <w:iCs/>
          <w:color w:val="000000"/>
          <w:sz w:val="30"/>
          <w:szCs w:val="30"/>
        </w:rPr>
        <w:t>D.</w:t>
        <w:tab/>
        <w:t>Misuse of ATC and Information on Reservations and Schedules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1.</w:t>
        <w:tab/>
        <w:t>Improperly Sharing Dispatch or Unit Commitment Information with Merchant Function in the PJM Interconnection.</w:t>
      </w:r>
      <w:r>
        <w:rPr>
          <w:rFonts w:eastAsia="Times New Roman" w:cs="Times New Roman" w:ascii="Times New Roman" w:hAnsi="Times New Roman"/>
          <w:color w:val="000000"/>
          <w:sz w:val="24"/>
          <w:szCs w:val="24"/>
        </w:rPr>
        <w:t xml:space="preserve">  Within the PJM Interconnection, it appears that wholesale merchant function employees of transmission-owning member utilities are receiving preferential access to valuable commercial information.  The Interconnection receives from its transmission owning utility members advance information on unit commitment and dispatch, which the pool, in turn provides to all of the transmission-owning members.  Because of its considerable commercial value, OASIS Standards of Conduct direct that this information be used exclusively for operational purposes and not be made available by either the Interconnection or its transmission-owning members to personnel operating within the utilities’ wholesale merchant function.  Patterns of purchases and sales by the PJM transmission-owning utility members strongly indicate that their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wholesale merchant employees have unique, advance access to information concerning significant unit commitment and dispatch decisions.  The incentive to violate the Standards of Conduct and obtain preferential, advance access to valuable commercial information would not have been possible in an operationally unbundled industry.  Alternatively, discriminatory abuse of this information would not have been possible if the Interconnection were required to publicly disseminate on OASIS unit commitment and dispatch information at the same time this information is provided to transmission-owning members of the Interconnection.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In addition, a marketer had a situation in which the PJM posted Market Clearing Price (“MCP”) was incorrect, but the transmission users, such as marketers, were not aware that the price was wrong.  After observing certain trading behavior on the part of some utilities, the marketer called PJM and was the informed that the MCP was incorrect.  A notice was then posted on the OASIS and the posting was corrected.  It was evident from the trading, however, that the generators (and their market affiliates) had access to the correct information on their own generation and could determine before the non-generation owning transmission users that the MCP was wrong.  This issue has been raised with the PJM Market Operations Committee, but has not been resolved.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2.</w:t>
        <w:tab/>
        <w:t xml:space="preserve">Unauthorized Exchange of Information between Transmission Provider and Marketing Affiliate. </w:t>
      </w:r>
      <w:r>
        <w:rPr>
          <w:rFonts w:eastAsia="Times New Roman" w:cs="Times New Roman" w:ascii="Times New Roman" w:hAnsi="Times New Roman"/>
          <w:color w:val="000000"/>
          <w:sz w:val="24"/>
          <w:szCs w:val="24"/>
        </w:rPr>
        <w:t>An audio tape of a utility scheduler for a MAIN transmission provider (obtained in connection with a priority dispute) documents a conversation between the scheduler and a marketer working for an affiliate of the scheduler’s utility.  The marketing affiliate called the scheduler and, in turn, the scheduler proceeded, on audio tape, to provide the marketing affiliate with the details of an energy transaction between other parties.  Intentional or inadvertent disclosures of commercially sensitive information to the marketing affiliate of a transmission owner obviously would not occur in a fully unbundled industry.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In addition, a marketer had a situation where the transmission company called the generator and told the generator about the marketer’s transmission deal.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There are also situations in which the generation group answers the phone line for </w:t>
        <w:tab/>
        <w:tab/>
        <w:t xml:space="preserve">transmission, and in which the marketing affiliate and utility traders are in the same </w:t>
        <w:tab/>
        <w:tab/>
        <w:t>room.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Marketers have had numerous situations in which the tag sink information (which is only to be given to the control area and the participants in chain) appeared to have been shared with the utility’s marketing affiliate because the next hour our deal is discontinued by the seller who goes directly to the utility.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3.</w:t>
        <w:tab/>
        <w:t xml:space="preserve">Preferential Treatment of an Affiliate When Processing Transmission Requests.  </w:t>
      </w:r>
      <w:r>
        <w:rPr>
          <w:rFonts w:eastAsia="Times New Roman" w:cs="Times New Roman" w:ascii="Times New Roman" w:hAnsi="Times New Roman"/>
          <w:color w:val="000000"/>
          <w:sz w:val="24"/>
          <w:szCs w:val="24"/>
        </w:rPr>
        <w:t>OASIS data show an instance in the SERC region, in which a transmission provider confirmed a set of five transmission requests by its affiliate inside of twenty minutes.  The total capacity value of these requests was over 1600 MW of firm transmission for a nine-year period.  Marketers operating in the area are hard pressed to fill out the paper work for a standard transmission service agreement in twenty minutes, never mind get the transmission provider to complete a study and confirm approval of the request in that time.  The same OASIS data show a set of service requests from another market participant to the same provider -- this time for two years and a total of 48 MW, which took the same utility close to three months to approve.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i/>
          <w:i/>
          <w:iCs/>
          <w:color w:val="000000"/>
          <w:sz w:val="30"/>
          <w:szCs w:val="3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i/>
          <w:i/>
          <w:iCs/>
          <w:color w:val="000000"/>
          <w:sz w:val="30"/>
          <w:szCs w:val="30"/>
        </w:rPr>
      </w:pPr>
      <w:r>
        <w:rPr>
          <w:rFonts w:eastAsia="Times New Roman" w:cs="Times New Roman" w:ascii="Times New Roman" w:hAnsi="Times New Roman"/>
          <w:b/>
          <w:bCs/>
          <w:i/>
          <w:iCs/>
          <w:color w:val="000000"/>
          <w:sz w:val="30"/>
          <w:szCs w:val="30"/>
        </w:rPr>
        <w:t>E.</w:t>
        <w:tab/>
        <w:t>Line Loading Relief, Power Transfer Distribution Factors, Tagging &amp; Other Unilateral, Extra-Tariff Restrictions on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1.</w:t>
        <w:tab/>
        <w:t>Line Loading Relief and Curtailments Based on Power Distribution Factor Models.</w:t>
      </w:r>
      <w:r>
        <w:rPr>
          <w:rFonts w:eastAsia="Times New Roman" w:cs="Times New Roman" w:ascii="Times New Roman" w:hAnsi="Times New Roman"/>
          <w:color w:val="000000"/>
          <w:sz w:val="24"/>
          <w:szCs w:val="24"/>
        </w:rPr>
        <w:t xml:space="preserve">  Interchange transactions between MAIN control areas and other control areas in the East Central Area Reliability (“ECAR”) Coordination Agreement have increasingly been denied or curtailed due to unavailable transmission capacity as predicted by Power Transfer Distribution Factors (“PTDFs”).  While heavy summer loading conditions have led historically to transaction curtailments between MAIN and control areas to the south, such as Duke, Carolina Power and Light, and TVA, the current number and magnitude of curtailments far exceeds those experienced (and justified) in the past. We strongly believe that the increasing amount of curtailments may be attributable to erroneous assumptions built into the PTDF models that exaggerate apparent line loadings and reduce ATC.  The PTDF models being used in MAIN and ECAR (and possibly elsewhere) have not been filed with or found to be just and reasonable by the Commission; nor are they available to transmission customers through OASIS or otherwise.  The accuracy of the PTDF models and the assumptions that they employ would likely improve if all uses of the transmission system were dependent on the same capacity determinations and OASIS postings.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Marketers have been curtained in SERC because of MAIN Line Load Relief (“LLR”) even though none of the wheels were scheduled through MAIN.  This harms our ability to rely on scheduled deals flowing, thus leading to an increase in payments of liquidated damages, as well as harming our reliability.  In many cases, we are not informed of LLR curtailments until after the hour when we are unable to reschedule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Marketers have been told of “Line Load Relief Freezes” and no energy can be scheduled (for example, through a utility) due to MAIN Guide 1C.  Since ATC is not updated frequently, this practice shuts down the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MAIN Guide 1C LLR affects hourly deals that have been flowing already because some transmission providers will not let the hourly deal continue for the next hour (ATC is now set to 0).  Marketers maintain that such a flowing hourly deal is not a new schedule.  Both this practice and (b) above severely restrict hourly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MAIN curtails utilities on a different basis than it curtails marketers.  For example, pursuant to Main Guide 1C, Line Load Relief, MAIN has curtailed some utilities only in amounts that it knows they can make up elsewhere.  Marketers are not shown this courtesy and are instead curtailed irrespective of whether they can obtain covers.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2.</w:t>
        <w:tab/>
        <w:t xml:space="preserve">Unilateral, Extra-Tariff Restrictions on Transmission Access. </w:t>
      </w:r>
      <w:r>
        <w:rPr>
          <w:rFonts w:eastAsia="Times New Roman" w:cs="Times New Roman" w:ascii="Times New Roman" w:hAnsi="Times New Roman"/>
          <w:color w:val="000000"/>
          <w:sz w:val="24"/>
          <w:szCs w:val="24"/>
        </w:rPr>
        <w:t xml:space="preserve">Under a procedure devised unilaterally by NERC (described more fully below) and imposed by NERC member utilities, the last purchasing-selling entity in a chain of trades is responsible for providing to the control area operator a so-called “tag” to identify all upstream transactions affecting title to the power. </w:t>
      </w:r>
      <w:r>
        <w:rPr>
          <w:rFonts w:eastAsia="Times New Roman" w:cs="Times New Roman" w:ascii="Times New Roman" w:hAnsi="Times New Roman"/>
          <w:color w:val="000000"/>
          <w:sz w:val="24"/>
          <w:szCs w:val="24"/>
        </w:rPr>
        <w:t>The burdensome obligation to tag is neither a term of the contract between the member and utility nor a term in the utility’s transmission tariff; yet the tag must be made, according to some utilities, before a transaction can be scheduled.  Insofar as the tagging rule is unilateral and extra-tariff, the onus of tagging will typically fall on the least powerful party to a transaction.  This discrimination would be unlikely if all transmission users took service pursuant to a uniform open-access tariff, the terms of which had all been publicly noticed and approved by the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3.</w:t>
        <w:tab/>
        <w:t>Denying Scheduling to Interchange Transactions that Are Not Tagged.</w:t>
      </w:r>
      <w:r>
        <w:rPr>
          <w:rFonts w:eastAsia="Times New Roman" w:cs="Times New Roman" w:ascii="Times New Roman" w:hAnsi="Times New Roman"/>
          <w:color w:val="000000"/>
          <w:sz w:val="24"/>
          <w:szCs w:val="24"/>
        </w:rPr>
        <w:t xml:space="preserve">  On July 17, 1997, a transmission customer was selling power to a utility in SERC.  When it lost its original power source, it found substitute power from a marketer, but was told that it would have to provide a tag to the transmission provider affiliated with that marketer.  The SERC utility purchaser refused to provide the transmission customer with all of the information needed to make a tag; the customer then tried to cobble together whatever information was available to help it provide a tag to the transmission provider.  Minutes before the power was to begin flowing, the transmission provider informed the transmission customer that the tag </w:t>
      </w:r>
      <w:r>
        <w:rPr>
          <w:rFonts w:eastAsia="Times New Roman" w:cs="Times New Roman" w:ascii="Times New Roman" w:hAnsi="Times New Roman"/>
          <w:i/>
          <w:iCs/>
          <w:color w:val="000000"/>
          <w:sz w:val="24"/>
          <w:szCs w:val="24"/>
        </w:rPr>
        <w:t>that had been provided</w:t>
      </w:r>
      <w:r>
        <w:rPr>
          <w:rFonts w:eastAsia="Times New Roman" w:cs="Times New Roman" w:ascii="Times New Roman" w:hAnsi="Times New Roman"/>
          <w:color w:val="000000"/>
          <w:sz w:val="24"/>
          <w:szCs w:val="24"/>
        </w:rPr>
        <w:t xml:space="preserve"> was inadequate. For that reason, it refused the seller’s schedule, and, as a result, the seller incurred liquidated damages liabilities to its new supplier.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NERC has now imposed requirements that tags must be submitted (although some areas, PJM for example, are not requiring tags).  In an unbundled industry where all transmission system users are equally dependent on the rules and procedures contained in the transmission tariff, it is doubtful that any user would tolerate extra-tariff restrictions on service, such as tagging.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4.</w:t>
        <w:tab/>
        <w:t xml:space="preserve">Requiring a New Tag Each Hour for Continuing Transactions. </w:t>
      </w:r>
      <w:r>
        <w:rPr>
          <w:rFonts w:eastAsia="Times New Roman" w:cs="Times New Roman" w:ascii="Times New Roman" w:hAnsi="Times New Roman"/>
          <w:color w:val="000000"/>
          <w:sz w:val="24"/>
          <w:szCs w:val="24"/>
        </w:rPr>
        <w:t>A marketer was selling power to a utility and lost a 50 megawatt supply from another utility during peak period, due to line loading relief (“LLR”) in the SPP.  Replacement power for the first two hours of LLR was obtained from the first utility and thereafter was re-supplied and transmitted on the first utility for six hours.  At the end of those six hours, the first utility cut the schedule on the ground that it had not been tagged for that hour.  The marketer called the scheduling desk of the first utility and explained that it had faxed the tag to the utility’s desk and had confirmation of the fax being received.  The utility’s scheduler said he could not get it, could not explain it, and was taking the schedule to zero because he did not get the tag.  Unable to flow power, the marketer lost the supply and its load.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5.</w:t>
        <w:tab/>
        <w:t xml:space="preserve">Power Pool-Wide, Unilateral Restrictions on Access.  </w:t>
      </w:r>
      <w:r>
        <w:rPr>
          <w:rFonts w:eastAsia="Times New Roman" w:cs="Times New Roman" w:ascii="Times New Roman" w:hAnsi="Times New Roman"/>
          <w:color w:val="000000"/>
          <w:sz w:val="24"/>
          <w:szCs w:val="24"/>
        </w:rPr>
        <w:t xml:space="preserve">In addition to individual refusals to schedule untagged power, the SPP has adopted NERC transmission loading relief (“TLR”) procedures that are based on tagging transactions and interrupting categories of tagged transactions as a device to manage line loading.  In order to encourage tagging, SPP (as evidenced in the attached SPP staff proposal) is poised to incorporate tagging as an extra-tariff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criteria for determining curtailment priority.  At page 3 of an August 2, 1997, report entitled </w:t>
      </w:r>
      <w:r>
        <w:rPr>
          <w:rFonts w:eastAsia="Times New Roman" w:cs="Times New Roman" w:ascii="Times New Roman" w:hAnsi="Times New Roman"/>
          <w:i/>
          <w:iCs/>
          <w:color w:val="000000"/>
          <w:sz w:val="24"/>
          <w:szCs w:val="24"/>
        </w:rPr>
        <w:t>Proposed Tagging Incentive to be Used Within SPP</w:t>
      </w:r>
      <w:r>
        <w:rPr>
          <w:rFonts w:eastAsia="Times New Roman" w:cs="Times New Roman" w:ascii="Times New Roman" w:hAnsi="Times New Roman"/>
          <w:color w:val="000000"/>
          <w:sz w:val="24"/>
          <w:szCs w:val="24"/>
        </w:rPr>
        <w:t>, Attachment A hereto, the SPP staff concludes by stating: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bring SPP members into compliance with [NERC] Policy 3 and to encourage the use of the tagging form for all schedules within the SPP, including next hour schedules, the SPP staff recommends an incentive for tagging be adopted such that during periods of LLR, schedules that do not have a properly filled out tag that have been ftp’d [uploaded electronically via Internet] to SPP and that are subject to a hold or curtailment will be assigned the lowest transmission service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22"/>
          <w:footerReference w:type="default" r:id="rId23"/>
          <w:footnotePr>
            <w:numFmt w:val="decimal"/>
          </w:footnotePr>
          <w:type w:val="nextPage"/>
          <w:pgSz w:w="12240" w:h="15840"/>
          <w:pgMar w:left="1440" w:right="1440" w:gutter="0" w:header="1440" w:top="1723" w:footer="475" w:bottom="75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There is no mention whether SPP and its member utilities plan to amend their transmission tariffs in accordance with this recommendation before implementing this proposed transmission service priority.  Our experience with other Transmission Providers that have denied transmission services on the basis of tagging strongly suggests that SPP members have no intention of submitting this priority change to the Commission and obtaining Commission approval before its implementation. In an unbundled industry where all transmission system users are equally dependent on the rules and procedures contained in the transmission tariff, it is doubtful that any user would tolerate extra-tariff restrictions on service, such as tagging.</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APPENDIX 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FPA Section 201 Authority over Public Utility Facilities.</w:t>
      </w:r>
      <w:r>
        <w:rPr>
          <w:rFonts w:eastAsia="Times New Roman" w:cs="Times New Roman" w:ascii="Times New Roman" w:hAnsi="Times New Roman"/>
          <w:color w:val="000000"/>
          <w:sz w:val="24"/>
          <w:szCs w:val="24"/>
        </w:rPr>
        <w:t xml:space="preserve">  The Commission’s jurisdiction over electric utility companies, set forth in FPA section 201(b)(1), 16 U.S.C. § 824(b)(1) (1988), includes the authority to regulate “the sale of electric energy at wholesale in interstate commerce” and “the transmission of electric energy in interstate commerce” by “public utilities.”  FPA section 201 confers on the Commission plenary authority over all facilities used for the transmission or wholesale of electric energy in interstate commerce.  That authority extends to all facilities, the costs of which are recorded in Account Numbers 560 through 574 of the Uniform System of Accounts, and is applicable to all public utilities.</w:t>
      </w:r>
      <w:r>
        <w:rPr>
          <w:rStyle w:val="FootnoteReference"/>
        </w:rPr>
        <w:footnoteReference w:id="55"/>
      </w:r>
      <w:r>
        <w:rPr>
          <w:rFonts w:eastAsia="Times New Roman" w:cs="Times New Roman" w:ascii="Times New Roman" w:hAnsi="Times New Roman"/>
          <w:color w:val="000000"/>
          <w:sz w:val="24"/>
          <w:szCs w:val="24"/>
        </w:rPr>
        <w:t xml:space="preserve">  This authority is exclusive; it cannot be delegated.</w:t>
      </w:r>
      <w:r>
        <w:rPr>
          <w:rStyle w:val="FootnoteReference"/>
        </w:rPr>
        <w:footnoteReference w:id="56"/>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Various courts have held that a sale or transmission of electric energy is “in interstate commerce” if (1) the electric energy that is sold or transmitted was generated in a state other than the state in which the interstate transaction ends or (2) the electric energy has been commingled with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out-of-state energy, irrespective of whether an actual interstate sale or transmission takes place.</w:t>
      </w:r>
      <w:r>
        <w:rPr>
          <w:rStyle w:val="FootnoteReference"/>
        </w:rPr>
        <w:footnoteReference w:id="57"/>
      </w:r>
      <w:r>
        <w:rPr>
          <w:rFonts w:eastAsia="Times New Roman" w:cs="Times New Roman" w:ascii="Times New Roman" w:hAnsi="Times New Roman"/>
          <w:color w:val="000000"/>
          <w:sz w:val="24"/>
          <w:szCs w:val="24"/>
        </w:rPr>
        <w:t xml:space="preserve"> Virtually all lines at transmission voltage levels within the contiguous 48 states are in interstate commerce by reason of their connection to interstate grids.</w:t>
      </w:r>
      <w:r>
        <w:rPr>
          <w:rStyle w:val="FootnoteReference"/>
        </w:rPr>
        <w:footnoteReference w:id="58"/>
      </w:r>
      <w:r>
        <w:rPr>
          <w:rFonts w:eastAsia="Times New Roman" w:cs="Times New Roman" w:ascii="Times New Roman" w:hAnsi="Times New Roman"/>
          <w:color w:val="000000"/>
          <w:sz w:val="24"/>
          <w:szCs w:val="24"/>
        </w:rPr>
        <w:t xml:space="preserve">  Under FPA section 201(b), the Commission can coordinate comparability standards in all regions of the country on nearly all transmission facilities.</w:t>
      </w:r>
      <w:r>
        <w:rPr>
          <w:rStyle w:val="FootnoteReference"/>
        </w:rPr>
        <w:footnoteReference w:id="59"/>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 xml:space="preserve">FPA Section 202 and PURPA Section 205 Authority over Interconnection and Pooling of Transmission Resources.  </w:t>
      </w:r>
      <w:r>
        <w:rPr>
          <w:rFonts w:eastAsia="Times New Roman" w:cs="Times New Roman" w:ascii="Times New Roman" w:hAnsi="Times New Roman"/>
          <w:color w:val="000000"/>
          <w:sz w:val="24"/>
          <w:szCs w:val="24"/>
        </w:rPr>
        <w:t>Section 202 of the FPA and section 205 of the Public Utilities Regulatory Policy Act of 1978 (“PURPA”) empower the Commission to encourage regional ISOs or other regional entities charged with operating transmission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pertinent part, section 202(a) provides:</w:t>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0" w:top="1440" w:footer="0" w:bottom="47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[T]he Commission is empowered and directed to divide the country into regional districts for the voluntary interconnection and coordination of facilities for the generation, transmission, and sale of electric energy. . . .  </w:t>
      </w:r>
      <w:r>
        <w:rPr>
          <w:rFonts w:eastAsia="Times New Roman" w:cs="Times New Roman" w:ascii="Times New Roman" w:hAnsi="Times New Roman"/>
          <w:i/>
          <w:iCs/>
          <w:color w:val="000000"/>
          <w:sz w:val="24"/>
          <w:szCs w:val="24"/>
        </w:rPr>
        <w:t>Each such district shall embrace an area which, in the judgment of the Commission, can economically be served by such interconnected and coordinated electric facilities.</w:t>
      </w:r>
      <w:r>
        <w:rPr>
          <w:rFonts w:eastAsia="Times New Roman" w:cs="Times New Roman" w:ascii="Times New Roman" w:hAnsi="Times New Roman"/>
          <w:color w:val="000000"/>
          <w:sz w:val="24"/>
          <w:szCs w:val="24"/>
        </w:rPr>
        <w:t xml:space="preserve">  It shall be the duty of the Commission to promote and encourage such interconnection and coordination within each such district and between such districts.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16 U.S.C. § 824a(a) (1994) (emphasis added).  The legislative history of section 202a instructs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both"/>
        <w:rPr/>
      </w:pPr>
      <w:r>
        <w:rPr>
          <w:rFonts w:eastAsia="Times New Roman" w:cs="Times New Roman" w:ascii="Times New Roman" w:hAnsi="Times New Roman"/>
          <w:color w:val="000000"/>
          <w:sz w:val="24"/>
          <w:szCs w:val="24"/>
        </w:rPr>
        <w:t xml:space="preserve">[T]he Commission would have authority to work out the </w:t>
      </w:r>
      <w:r>
        <w:rPr>
          <w:rFonts w:eastAsia="Times New Roman" w:cs="Times New Roman" w:ascii="Times New Roman" w:hAnsi="Times New Roman"/>
          <w:i/>
          <w:iCs/>
          <w:color w:val="000000"/>
          <w:sz w:val="24"/>
          <w:szCs w:val="24"/>
        </w:rPr>
        <w:t>ideal utility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map</w:t>
      </w:r>
      <w:r>
        <w:rPr>
          <w:rFonts w:eastAsia="Times New Roman" w:cs="Times New Roman" w:ascii="Times New Roman" w:hAnsi="Times New Roman"/>
          <w:color w:val="000000"/>
          <w:sz w:val="24"/>
          <w:szCs w:val="24"/>
        </w:rPr>
        <w:t xml:space="preserve"> of the country and supervise the development of the industry toward that ideal.  The committee is confident that enlightened self-interest will lead the utilities to cooperate with the Commission and with each other in bringing about the economies which can alone be secured through the planned coordination which has long been advocated by the most able and progressive thinkers on this subject.</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before="0" w:after="0"/>
        <w:ind w:hanging="0" w:start="2160" w:end="216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Sen. Rep. No. 621.  74th Cong. lst Sess. (1935) at p. 40 (emphasis added).  Congress empowered the Commission to work out “the ideal utility map of the country and supervise the development of the industry toward that ideal.”  When the Department of Energy (“DOE”) was created in 1977, this authority was transferred to the DOE.  Thus, any initiative under FPA section 202(a) would have to be coordinated with the DOE.  Alternatively, the Commission could act under PURPA section 205, which empowers the Commission to study and make recommendations for “optimization in the efficiency of use of facilities and resources . . . through pooling arrangements.”  16 U.S.C. § 824a-1(b)(1994).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FPA Section 205 Authority over Rate Schedules.</w:t>
      </w:r>
      <w:r>
        <w:rPr>
          <w:rFonts w:eastAsia="Times New Roman" w:cs="Times New Roman" w:ascii="Times New Roman" w:hAnsi="Times New Roman"/>
          <w:color w:val="000000"/>
          <w:sz w:val="24"/>
          <w:szCs w:val="24"/>
        </w:rPr>
        <w:t xml:space="preserve">  Pursuant to FPA section 205, 16 U.S.C. § 824d (1988), all public utilities must file schedules with the Commission showing the rates and charges and all other terms and conditions demanded for any interstate “transmission” subject to the FPA; “transmission,” as a jurisdictional activity, is not qualified in any respect.  All terms of service are to be included in tariff filings</w:t>
      </w:r>
      <w:r>
        <w:rPr>
          <w:rStyle w:val="FootnoteReference"/>
        </w:rPr>
        <w:footnoteReference w:id="60"/>
      </w:r>
      <w:r>
        <w:rPr>
          <w:rFonts w:eastAsia="Times New Roman" w:cs="Times New Roman" w:ascii="Times New Roman" w:hAnsi="Times New Roman"/>
          <w:color w:val="000000"/>
          <w:sz w:val="24"/>
          <w:szCs w:val="24"/>
        </w:rPr>
        <w:t xml:space="preserve"> and made subject to Commission review for conformity with these statutory standards.  FPA section 205 effectively codifies the bright-line test articulated in </w:t>
      </w:r>
      <w:r>
        <w:rPr>
          <w:rFonts w:eastAsia="Times New Roman" w:cs="Times New Roman" w:ascii="Times New Roman" w:hAnsi="Times New Roman"/>
          <w:i/>
          <w:iCs/>
          <w:color w:val="000000"/>
          <w:sz w:val="24"/>
          <w:szCs w:val="24"/>
        </w:rPr>
        <w:t>Public Utilities Comm’n v. Attleboro Steam &amp; Electric Co.</w:t>
      </w:r>
      <w:r>
        <w:rPr>
          <w:rFonts w:eastAsia="Times New Roman" w:cs="Times New Roman" w:ascii="Times New Roman" w:hAnsi="Times New Roman"/>
          <w:color w:val="000000"/>
          <w:sz w:val="24"/>
          <w:szCs w:val="24"/>
        </w:rPr>
        <w:t>, 273 U.S. 83 (1927),</w:t>
      </w:r>
      <w:r>
        <w:rPr>
          <w:rStyle w:val="FootnoteReference"/>
        </w:rPr>
        <w:footnoteReference w:id="61"/>
      </w:r>
      <w:r>
        <w:rPr>
          <w:rFonts w:eastAsia="Times New Roman" w:cs="Times New Roman" w:ascii="Times New Roman" w:hAnsi="Times New Roman"/>
          <w:color w:val="000000"/>
          <w:sz w:val="24"/>
          <w:szCs w:val="24"/>
        </w:rPr>
        <w:t xml:space="preserve"> by authorizing the Commission to regulate the rates, terms and conditions applicable to the transmission and sale for resale of electricity in interstate commerce.  </w:t>
      </w:r>
      <w:r>
        <w:rPr>
          <w:rFonts w:eastAsia="Times New Roman" w:cs="Times New Roman" w:ascii="Times New Roman" w:hAnsi="Times New Roman"/>
          <w:i/>
          <w:iCs/>
          <w:color w:val="000000"/>
          <w:sz w:val="24"/>
          <w:szCs w:val="24"/>
        </w:rPr>
        <w:t>See Order No. 888</w:t>
      </w:r>
      <w:r>
        <w:rPr>
          <w:rFonts w:eastAsia="Times New Roman" w:cs="Times New Roman" w:ascii="Times New Roman" w:hAnsi="Times New Roman"/>
          <w:color w:val="000000"/>
          <w:sz w:val="24"/>
          <w:szCs w:val="24"/>
        </w:rPr>
        <w:t>, [1991-96 Regs. Preambles] F.E.R.C. Stats. &amp; Regs.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FPA Section 206.</w:t>
      </w:r>
      <w:r>
        <w:rPr>
          <w:rFonts w:eastAsia="Times New Roman" w:cs="Times New Roman" w:ascii="Times New Roman" w:hAnsi="Times New Roman"/>
          <w:color w:val="000000"/>
          <w:sz w:val="24"/>
          <w:szCs w:val="24"/>
        </w:rPr>
        <w:t xml:space="preserve">  FPA section 206, 16 U.S.C. § 824e (1988), empowers the Commission to remedy anticompetitive rates, charges, classifications, rules, regulations, practices, or contracts.  This power is broad.  </w:t>
      </w:r>
      <w:r>
        <w:rPr>
          <w:rFonts w:eastAsia="Times New Roman" w:cs="Times New Roman" w:ascii="Times New Roman" w:hAnsi="Times New Roman"/>
          <w:i/>
          <w:iCs/>
          <w:color w:val="000000"/>
          <w:sz w:val="24"/>
          <w:szCs w:val="24"/>
        </w:rPr>
        <w:t>See, e.g., Mississippi Power &amp; Light Co. v. Mississippi ex rel. Moore,</w:t>
      </w:r>
      <w:r>
        <w:rPr>
          <w:rFonts w:eastAsia="Times New Roman" w:cs="Times New Roman" w:ascii="Times New Roman" w:hAnsi="Times New Roman"/>
          <w:color w:val="000000"/>
          <w:sz w:val="24"/>
          <w:szCs w:val="24"/>
        </w:rPr>
        <w:t xml:space="preserve"> 487 U.S. 354, 360 n.6 (1988); </w:t>
      </w:r>
      <w:r>
        <w:rPr>
          <w:rFonts w:eastAsia="Times New Roman" w:cs="Times New Roman" w:ascii="Times New Roman" w:hAnsi="Times New Roman"/>
          <w:i/>
          <w:iCs/>
          <w:color w:val="000000"/>
          <w:sz w:val="24"/>
          <w:szCs w:val="24"/>
        </w:rPr>
        <w:t>FPC v. Conway Corp.,</w:t>
      </w:r>
      <w:r>
        <w:rPr>
          <w:rFonts w:eastAsia="Times New Roman" w:cs="Times New Roman" w:ascii="Times New Roman" w:hAnsi="Times New Roman"/>
          <w:color w:val="000000"/>
          <w:sz w:val="24"/>
          <w:szCs w:val="24"/>
        </w:rPr>
        <w:t xml:space="preserve"> 426 U.S. 271, 281 (1976).  FPA section 206 empowers the Commission, on its own motion or upon complaint, to investigate and determine the lawfulness of utility practices.  </w:t>
      </w:r>
      <w:r>
        <w:rPr>
          <w:rFonts w:eastAsia="Times New Roman" w:cs="Times New Roman" w:ascii="Times New Roman" w:hAnsi="Times New Roman"/>
          <w:i/>
          <w:iCs/>
          <w:color w:val="000000"/>
          <w:sz w:val="24"/>
          <w:szCs w:val="24"/>
        </w:rPr>
        <w:t>See Alabama Power Co. v. FERC,</w:t>
      </w:r>
      <w:r>
        <w:rPr>
          <w:rFonts w:eastAsia="Times New Roman" w:cs="Times New Roman" w:ascii="Times New Roman" w:hAnsi="Times New Roman"/>
          <w:color w:val="000000"/>
          <w:sz w:val="24"/>
          <w:szCs w:val="24"/>
        </w:rPr>
        <w:t xml:space="preserve"> 993 F.2d 1557, 1571 (D.C. Cir. 1993).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Under FPA section 206, the Commission has the authority to remedy the vestigial features of the post-Order 888 and 889 power industry that remain anticompetitive and discriminatory.  As we have argued above, there continues to be a broad discrepancy between transmission providers’ access to and uses of transmission systems and the ability of others to use those systems.  The Commission should now use its broad remedial powers under FPA section 206 to eradicate power industry structures that perpetuate discrimination.  Those remedial powers under section 206 are equally broad as the parallel Natural Gas Act authority that the Commission wielded in Order No. 636.  </w:t>
      </w:r>
      <w:r>
        <w:rPr>
          <w:rFonts w:eastAsia="Times New Roman" w:cs="Times New Roman" w:ascii="Times New Roman" w:hAnsi="Times New Roman"/>
          <w:i/>
          <w:iCs/>
          <w:color w:val="000000"/>
          <w:sz w:val="24"/>
          <w:szCs w:val="24"/>
        </w:rPr>
        <w:t>See Associated Gas Distributors v. FERC,</w:t>
      </w:r>
      <w:r>
        <w:rPr>
          <w:rFonts w:eastAsia="Times New Roman" w:cs="Times New Roman" w:ascii="Times New Roman" w:hAnsi="Times New Roman"/>
          <w:color w:val="000000"/>
          <w:sz w:val="24"/>
          <w:szCs w:val="24"/>
        </w:rPr>
        <w:t xml:space="preserve"> 824 F.2d 981, 998-99 (D.C. Cir. 1987) (discussing the Commission’s broad powers to remedy discrimination under both the FPA and the Natural Gas Act), </w:t>
      </w:r>
      <w:r>
        <w:rPr>
          <w:rFonts w:eastAsia="Times New Roman" w:cs="Times New Roman" w:ascii="Times New Roman" w:hAnsi="Times New Roman"/>
          <w:i/>
          <w:iCs/>
          <w:color w:val="000000"/>
          <w:sz w:val="24"/>
          <w:szCs w:val="24"/>
        </w:rPr>
        <w:t xml:space="preserve">cert. denied, </w:t>
      </w:r>
      <w:r>
        <w:rPr>
          <w:rFonts w:eastAsia="Times New Roman" w:cs="Times New Roman" w:ascii="Times New Roman" w:hAnsi="Times New Roman"/>
          <w:color w:val="000000"/>
          <w:sz w:val="24"/>
          <w:szCs w:val="24"/>
        </w:rPr>
        <w:t>485</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U.S. 1006 (1988)</w:t>
      </w:r>
      <w:r>
        <w:rPr>
          <w:rFonts w:eastAsia="Times New Roman" w:cs="Times New Roman" w:ascii="Times New Roman" w:hAnsi="Times New Roman"/>
          <w:i/>
          <w:i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Commission Responsibility to Advance Competition and Antitrust Policies.</w:t>
      </w:r>
      <w:r>
        <w:rPr>
          <w:rFonts w:eastAsia="Times New Roman" w:cs="Times New Roman" w:ascii="Times New Roman" w:hAnsi="Times New Roman"/>
          <w:color w:val="000000"/>
          <w:sz w:val="24"/>
          <w:szCs w:val="24"/>
        </w:rPr>
        <w:t xml:space="preserve">  The Commission’s FPA authority to remedy anticompetitive conditions includes the responsibility to follow antitrust policy in discharging its statutory obligations.  In </w:t>
      </w:r>
      <w:r>
        <w:rPr>
          <w:rFonts w:eastAsia="Times New Roman" w:cs="Times New Roman" w:ascii="Times New Roman" w:hAnsi="Times New Roman"/>
          <w:i/>
          <w:iCs/>
          <w:color w:val="000000"/>
          <w:sz w:val="24"/>
          <w:szCs w:val="24"/>
        </w:rPr>
        <w:t>Gulf States,</w:t>
      </w:r>
      <w:r>
        <w:rPr>
          <w:rFonts w:eastAsia="Times New Roman" w:cs="Times New Roman" w:ascii="Times New Roman" w:hAnsi="Times New Roman"/>
          <w:color w:val="000000"/>
          <w:sz w:val="24"/>
          <w:szCs w:val="24"/>
        </w:rPr>
        <w:t xml:space="preserve"> 411 U.S. at 759, the Supreme Court determined that the FPA did not render antitrust policy irrelevant to the Commission’s regulation of the electric services industry.  At issue in </w:t>
      </w:r>
      <w:r>
        <w:rPr>
          <w:rFonts w:eastAsia="Times New Roman" w:cs="Times New Roman" w:ascii="Times New Roman" w:hAnsi="Times New Roman"/>
          <w:i/>
          <w:iCs/>
          <w:color w:val="000000"/>
          <w:sz w:val="24"/>
          <w:szCs w:val="24"/>
        </w:rPr>
        <w:t>Gulf States</w:t>
      </w:r>
      <w:r>
        <w:rPr>
          <w:rFonts w:eastAsia="Times New Roman" w:cs="Times New Roman" w:ascii="Times New Roman" w:hAnsi="Times New Roman"/>
          <w:color w:val="000000"/>
          <w:sz w:val="24"/>
          <w:szCs w:val="24"/>
        </w:rPr>
        <w:t xml:space="preserve"> was whether the Commission must consider alleged anticompetitive effects of a public utility’s issuance of securities in determining whether the issuance was “compatible with the public interest” under FPA Section 204.</w:t>
      </w:r>
      <w:r>
        <w:rPr>
          <w:rStyle w:val="FootnoteReference"/>
        </w:rPr>
        <w:footnoteReference w:id="62"/>
      </w:r>
      <w:r>
        <w:rPr>
          <w:rFonts w:eastAsia="Times New Roman" w:cs="Times New Roman" w:ascii="Times New Roman" w:hAnsi="Times New Roman"/>
          <w:color w:val="000000"/>
          <w:sz w:val="24"/>
          <w:szCs w:val="24"/>
        </w:rPr>
        <w:t xml:space="preserve">  Gulf States Utilities had applied to the Commission for authority to issue for cash certain long-term bonds for the purpose of refunding a portion of Gulf States’ outstanding commercial paper and short-term notes.  Two intervening cities opposed Commission authorization on the grounds that the bond proceeds would fund anticompetitive activities in violation of the antitrust laws and the FPA.  The Commission held that the cities’ allegations of anticompetitive activities were irrelevant to the requested authorization of securities under FPA section 204.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On petition for review, the United States Court of Appeals for the District of Columbia Circuit remanded the proceeding with directions that the Commission “take a ‘hard look’” at the anticompetitive allegations raised by the cities.  </w:t>
      </w:r>
      <w:r>
        <w:rPr>
          <w:rFonts w:eastAsia="Times New Roman" w:cs="Times New Roman" w:ascii="Times New Roman" w:hAnsi="Times New Roman"/>
          <w:i/>
          <w:iCs/>
          <w:color w:val="000000"/>
          <w:sz w:val="24"/>
          <w:szCs w:val="24"/>
        </w:rPr>
        <w:t>City of Lafayette v. SEC,</w:t>
      </w:r>
      <w:r>
        <w:rPr>
          <w:rFonts w:eastAsia="Times New Roman" w:cs="Times New Roman" w:ascii="Times New Roman" w:hAnsi="Times New Roman"/>
          <w:color w:val="000000"/>
          <w:sz w:val="24"/>
          <w:szCs w:val="24"/>
        </w:rPr>
        <w:t xml:space="preserve"> 454 F.2d 941, 954 (1971).  In </w:t>
      </w:r>
      <w:r>
        <w:rPr>
          <w:rFonts w:eastAsia="Times New Roman" w:cs="Times New Roman" w:ascii="Times New Roman" w:hAnsi="Times New Roman"/>
          <w:i/>
          <w:iCs/>
          <w:color w:val="000000"/>
          <w:sz w:val="24"/>
          <w:szCs w:val="24"/>
        </w:rPr>
        <w:t>Gulf States</w:t>
      </w:r>
      <w:r>
        <w:rPr>
          <w:rFonts w:eastAsia="Times New Roman" w:cs="Times New Roman" w:ascii="Times New Roman" w:hAnsi="Times New Roman"/>
          <w:color w:val="000000"/>
          <w:sz w:val="24"/>
          <w:szCs w:val="24"/>
        </w:rPr>
        <w:t xml:space="preserve">, the Supreme Court affirmed, finding that the Commission’s mandate under FPA section 204 is a “broad and impressive” one.  411 U.S. at 756.  The Court emphasized that the Commission’s authority to consider anticompetitive and other conduct affecting the “public interest” extended to the other sections of Part II of the FPA.  </w:t>
      </w: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xml:space="preserve"> at 758-59.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Similarly, in </w:t>
      </w:r>
      <w:r>
        <w:rPr>
          <w:rFonts w:eastAsia="Times New Roman" w:cs="Times New Roman" w:ascii="Times New Roman" w:hAnsi="Times New Roman"/>
          <w:i/>
          <w:iCs/>
          <w:color w:val="000000"/>
          <w:sz w:val="24"/>
          <w:szCs w:val="24"/>
        </w:rPr>
        <w:t>Otter Tail Power Co. v. United States</w:t>
      </w:r>
      <w:r>
        <w:rPr>
          <w:rFonts w:eastAsia="Times New Roman" w:cs="Times New Roman" w:ascii="Times New Roman" w:hAnsi="Times New Roman"/>
          <w:color w:val="000000"/>
          <w:sz w:val="24"/>
          <w:szCs w:val="24"/>
        </w:rPr>
        <w:t xml:space="preserve">, 410 U.S. 366 (1973), the Court determined that nothing in the legislative history of Part II of the FPA reveals a purpose to insulate electric power companies from the operation of antitrust laws.  To the contrary, the Court found that the legislative history of Part II indicates an overriding policy of maintaining competition to the maximum extent possible, consistent with the public interest.  </w:t>
      </w:r>
      <w:r>
        <w:rPr>
          <w:rFonts w:eastAsia="Times New Roman" w:cs="Times New Roman" w:ascii="Times New Roman" w:hAnsi="Times New Roman"/>
          <w:i/>
          <w:iCs/>
          <w:color w:val="000000"/>
          <w:sz w:val="24"/>
          <w:szCs w:val="24"/>
        </w:rPr>
        <w:t>Id.</w:t>
      </w:r>
      <w:r>
        <w:rPr>
          <w:rFonts w:eastAsia="Times New Roman" w:cs="Times New Roman" w:ascii="Times New Roman" w:hAnsi="Times New Roman"/>
          <w:color w:val="000000"/>
          <w:sz w:val="24"/>
          <w:szCs w:val="24"/>
        </w:rPr>
        <w:t xml:space="preserve"> at 374.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Although interpreting different sections of the FPA, </w:t>
      </w:r>
      <w:r>
        <w:rPr>
          <w:rFonts w:eastAsia="Times New Roman" w:cs="Times New Roman" w:ascii="Times New Roman" w:hAnsi="Times New Roman"/>
          <w:i/>
          <w:iCs/>
          <w:color w:val="000000"/>
          <w:sz w:val="24"/>
          <w:szCs w:val="24"/>
        </w:rPr>
        <w:t>Gulf States</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i/>
          <w:iCs/>
          <w:color w:val="000000"/>
          <w:sz w:val="24"/>
          <w:szCs w:val="24"/>
        </w:rPr>
        <w:t>Otter Tail</w:t>
      </w:r>
      <w:r>
        <w:rPr>
          <w:rFonts w:eastAsia="Times New Roman" w:cs="Times New Roman" w:ascii="Times New Roman" w:hAnsi="Times New Roman"/>
          <w:color w:val="000000"/>
          <w:sz w:val="24"/>
          <w:szCs w:val="24"/>
        </w:rPr>
        <w:t xml:space="preserve"> arrive at the same conclusion:  The Commission’s authority to remedy anticompetitive conditions or practices includes the responsibility for considering antitrust policy in discharging its statutory obligations.  Today, the Commission has the responsibility to identify and then remedy the anticompetitive features that persist in the electric power market following Order No. 888.  The ongoing, pre-competitive practices of vertically integrated transmission owners, and their combinations and associations, call for a structural remedy that will eliminate once and for all the incentive of transmission owners to discriminate.  Such a remedy must unbundle transmission completely, ensure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transmission system operators’ independence and implement for all transmission customers a common transmission service and same-time information system.</w:t>
      </w:r>
    </w:p>
    <w:p>
      <w:pPr>
        <w:sectPr>
          <w:headerReference w:type="default" r:id="rId28"/>
          <w:footerReference w:type="default" r:id="rId29"/>
          <w:footnotePr>
            <w:numFmt w:val="decimal"/>
          </w:footnotePr>
          <w:type w:val="nextPage"/>
          <w:pgSz w:w="12240" w:h="15840"/>
          <w:pgMar w:left="1440" w:right="1440" w:gutter="0" w:header="1440" w:top="1723" w:footer="475" w:bottom="75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APPENDIX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b/>
          <w:bCs/>
          <w:color w:val="000000"/>
          <w:sz w:val="24"/>
          <w:szCs w:val="24"/>
        </w:rPr>
        <w:t xml:space="preserve">SECTION-BY-SECTION SUMMARY OF PETITIONERS’ REQUESTED CLARIFICATIONS AND RECONSIDERATIONS OF THE </w:t>
      </w:r>
      <w:r>
        <w:rPr>
          <w:rFonts w:eastAsia="Times New Roman" w:cs="Times New Roman" w:ascii="Times New Roman" w:hAnsi="Times New Roman"/>
          <w:b/>
          <w:bCs/>
          <w:i/>
          <w:iCs/>
          <w:color w:val="000000"/>
          <w:sz w:val="24"/>
          <w:szCs w:val="24"/>
        </w:rPr>
        <w:t>PRO FORMA</w:t>
      </w:r>
      <w:r>
        <w:rPr>
          <w:rFonts w:eastAsia="Times New Roman" w:cs="Times New Roman" w:ascii="Times New Roman" w:hAnsi="Times New Roman"/>
          <w:b/>
          <w:bCs/>
          <w:color w:val="000000"/>
          <w:sz w:val="24"/>
          <w:szCs w:val="24"/>
        </w:rPr>
        <w:t xml:space="preserve"> TARIFF</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PART II -- POINT-TO-POINT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13.2 -- Reservation Priority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the reservation priority of service over a secondary interface.  Secondary interface service should be second only to firm, and equal to nonfirm network service for native load, except that secondary-point service should not displace nonfirm service previously scheduled.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information relating to reservations by preexisting, “grandfathered” transmission customers must be posted on OASIS.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the definition of a time stamp.</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13.3 -- Use of Firm Transmission Service by the Transmission Provider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 and reconsider</w:t>
      </w:r>
      <w:r>
        <w:rPr>
          <w:rFonts w:eastAsia="Times New Roman" w:cs="Times New Roman" w:ascii="Times New Roman" w:hAnsi="Times New Roman"/>
          <w:color w:val="000000"/>
          <w:sz w:val="24"/>
          <w:szCs w:val="24"/>
        </w:rPr>
        <w:t xml:space="preserve"> this section and the OASIS regulations, and should require </w:t>
      </w:r>
      <w:r>
        <w:rPr>
          <w:rFonts w:eastAsia="Times New Roman" w:cs="Times New Roman" w:ascii="Times New Roman" w:hAnsi="Times New Roman"/>
          <w:i/>
          <w:iCs/>
          <w:color w:val="000000"/>
          <w:sz w:val="24"/>
          <w:szCs w:val="24"/>
        </w:rPr>
        <w:t>all</w:t>
      </w:r>
      <w:r>
        <w:rPr>
          <w:rFonts w:eastAsia="Times New Roman" w:cs="Times New Roman" w:ascii="Times New Roman" w:hAnsi="Times New Roman"/>
          <w:color w:val="000000"/>
          <w:sz w:val="24"/>
          <w:szCs w:val="24"/>
        </w:rPr>
        <w:t xml:space="preserve"> service for native load and all of the Transmission Provider’s transactions to be posted on OASIS.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13.5 -- Transmission Customer Obligations for Facility Additions or Redispatch Costs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this section applies only </w:t>
      </w:r>
      <w:r>
        <w:rPr>
          <w:rFonts w:eastAsia="Times New Roman" w:cs="Times New Roman" w:ascii="Times New Roman" w:hAnsi="Times New Roman"/>
          <w:i/>
          <w:iCs/>
          <w:color w:val="000000"/>
          <w:sz w:val="24"/>
          <w:szCs w:val="24"/>
        </w:rPr>
        <w:t>before</w:t>
      </w:r>
      <w:r>
        <w:rPr>
          <w:rFonts w:eastAsia="Times New Roman" w:cs="Times New Roman" w:ascii="Times New Roman" w:hAnsi="Times New Roman"/>
          <w:color w:val="000000"/>
          <w:sz w:val="24"/>
          <w:szCs w:val="24"/>
        </w:rPr>
        <w:t xml:space="preserve"> reservations are accepted, and that redispatching and redispatch costs are the Transmission Provider’s responsibility once unconditional firm service is sold.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allow Transmission Providers to offer firm service conditional on the customer’s payment of redispatch costs, which must be fully disclosed on OASIS in advance.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have ATC calculated on a regional or super-regional basis by one or more </w:t>
      </w:r>
      <w:r>
        <w:rPr>
          <w:rFonts w:eastAsia="Times New Roman" w:cs="Times New Roman" w:ascii="Times New Roman" w:hAnsi="Times New Roman"/>
          <w:i/>
          <w:iCs/>
          <w:color w:val="000000"/>
          <w:sz w:val="24"/>
          <w:szCs w:val="24"/>
        </w:rPr>
        <w:t>independent</w:t>
      </w:r>
      <w:r>
        <w:rPr>
          <w:rFonts w:eastAsia="Times New Roman" w:cs="Times New Roman" w:ascii="Times New Roman" w:hAnsi="Times New Roman"/>
          <w:color w:val="000000"/>
          <w:sz w:val="24"/>
          <w:szCs w:val="24"/>
        </w:rPr>
        <w:t xml:space="preserve"> entities.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Alternatively, if Transmission Providers are allowed to calculate ATC, 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they must do so hourly, and all supporting data must be </w:t>
      </w:r>
      <w:r>
        <w:rPr>
          <w:rFonts w:eastAsia="Times New Roman" w:cs="Times New Roman" w:ascii="Times New Roman" w:hAnsi="Times New Roman"/>
          <w:i/>
          <w:iCs/>
          <w:color w:val="000000"/>
          <w:sz w:val="24"/>
          <w:szCs w:val="24"/>
        </w:rPr>
        <w:t>easily</w:t>
      </w:r>
      <w:r>
        <w:rPr>
          <w:rFonts w:eastAsia="Times New Roman" w:cs="Times New Roman" w:ascii="Times New Roman" w:hAnsi="Times New Roman"/>
          <w:color w:val="000000"/>
          <w:sz w:val="24"/>
          <w:szCs w:val="24"/>
        </w:rPr>
        <w:t xml:space="preserve"> available on OASIS for Customer review.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30"/>
          <w:headerReference w:type="first" r:id="rId31"/>
          <w:footerReference w:type="default" r:id="rId32"/>
          <w:footerReference w:type="first" r:id="rId33"/>
          <w:footnotePr>
            <w:numFmt w:val="decimal"/>
          </w:footnotePr>
          <w:type w:val="nextPage"/>
          <w:pgSz w:w="12240" w:h="15840"/>
          <w:pgMar w:left="0" w:right="1440" w:gutter="0" w:header="0" w:top="1440" w:footer="0" w:bottom="475"/>
          <w:pgNumType w:fmt="decimal"/>
          <w:formProt w:val="false"/>
          <w:textDirection w:val="lrTb"/>
          <w:docGrid w:type="default" w:linePitch="600" w:charSpace="32768"/>
        </w:sect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13.6 -- Curtailment of Firm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customers cannot be made to pay for curtailed firm service.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curtailment is “required to maintain reliable operation” of the transmission grid </w:t>
      </w:r>
      <w:r>
        <w:rPr>
          <w:rFonts w:eastAsia="Times New Roman" w:cs="Times New Roman" w:ascii="Times New Roman" w:hAnsi="Times New Roman"/>
          <w:i/>
          <w:iCs/>
          <w:color w:val="000000"/>
          <w:sz w:val="24"/>
          <w:szCs w:val="24"/>
        </w:rPr>
        <w:t>only</w:t>
      </w:r>
      <w:r>
        <w:rPr>
          <w:rFonts w:eastAsia="Times New Roman" w:cs="Times New Roman" w:ascii="Times New Roman" w:hAnsi="Times New Roman"/>
          <w:color w:val="000000"/>
          <w:sz w:val="24"/>
          <w:szCs w:val="24"/>
        </w:rPr>
        <w:t xml:space="preserve"> when the Transmission Provider cannot relieve a constraint on </w:t>
      </w:r>
      <w:r>
        <w:rPr>
          <w:rFonts w:eastAsia="Times New Roman" w:cs="Times New Roman" w:ascii="Times New Roman" w:hAnsi="Times New Roman"/>
          <w:i/>
          <w:iCs/>
          <w:color w:val="000000"/>
          <w:sz w:val="24"/>
          <w:szCs w:val="24"/>
        </w:rPr>
        <w:t>its own</w:t>
      </w:r>
      <w:r>
        <w:rPr>
          <w:rFonts w:eastAsia="Times New Roman" w:cs="Times New Roman" w:ascii="Times New Roman" w:hAnsi="Times New Roman"/>
          <w:color w:val="000000"/>
          <w:sz w:val="24"/>
          <w:szCs w:val="24"/>
        </w:rPr>
        <w:t xml:space="preserve"> system by redispatching.  Third parties must have no role in the curtailment decision unless or until the Commission approves a rule on off-system line loading relief.</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curtailment procedures must respect the designation of firm point-to-point service at the point of constraint (and not based on other nonfirm paths in the chain). A firm network path to a utility taking power from a non-designated resource is still firm.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notification of curtailment “in a timely manner.”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curtailment must be imposed </w:t>
      </w:r>
      <w:r>
        <w:rPr>
          <w:rFonts w:eastAsia="Times New Roman" w:cs="Times New Roman" w:ascii="Times New Roman" w:hAnsi="Times New Roman"/>
          <w:i/>
          <w:iCs/>
          <w:color w:val="000000"/>
          <w:sz w:val="24"/>
          <w:szCs w:val="24"/>
        </w:rPr>
        <w:t>pro rata</w:t>
      </w:r>
      <w:r>
        <w:rPr>
          <w:rFonts w:eastAsia="Times New Roman" w:cs="Times New Roman" w:ascii="Times New Roman" w:hAnsi="Times New Roman"/>
          <w:color w:val="000000"/>
          <w:sz w:val="24"/>
          <w:szCs w:val="24"/>
        </w:rPr>
        <w:t xml:space="preserve"> only on transactions that affect materially a constraint.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add a liquidated damages clause to apply when a Transmission Provider unlawfully or unnecessarily curtails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13.7 -- Classification of Firm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changing a source or sink is </w:t>
      </w:r>
      <w:r>
        <w:rPr>
          <w:rFonts w:eastAsia="Times New Roman" w:cs="Times New Roman" w:ascii="Times New Roman" w:hAnsi="Times New Roman"/>
          <w:i/>
          <w:iCs/>
          <w:color w:val="000000"/>
          <w:sz w:val="24"/>
          <w:szCs w:val="24"/>
        </w:rPr>
        <w:t>not</w:t>
      </w:r>
      <w:r>
        <w:rPr>
          <w:rFonts w:eastAsia="Times New Roman" w:cs="Times New Roman" w:ascii="Times New Roman" w:hAnsi="Times New Roman"/>
          <w:color w:val="000000"/>
          <w:sz w:val="24"/>
          <w:szCs w:val="24"/>
        </w:rPr>
        <w:t xml:space="preserve"> a change in service unless Points of Receipt or Delivery are also changed.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multiple Points of Receipt (and multiple generating units) can be scheduled in a single “blockloaded” transmission request.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At a minimum, 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provision of hourly firm service mandatory for Transmission Providers that purchase economy energy in hourly markets.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customers should be able to request multiple receipt and delivery points in a single application for firm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b/>
          <w:bCs/>
          <w:color w:val="000000"/>
          <w:sz w:val="24"/>
          <w:szCs w:val="24"/>
        </w:rPr>
        <w:t>Section 13.8</w:t>
      </w:r>
      <w:r>
        <w:rPr>
          <w:rFonts w:eastAsia="Times New Roman" w:cs="Times New Roman" w:ascii="Times New Roman" w:hAnsi="Times New Roman"/>
          <w:color w:val="000000"/>
          <w:sz w:val="24"/>
          <w:szCs w:val="24"/>
        </w:rPr>
        <w:t xml:space="preserve"> -- Scheduling of Firm Point-to-Point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scheduling deadlines consistent across the country.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the scheduling deadline noon, or later by mutual agreement.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customers can recall, schedule and reschedule reserved firm service on short notice past the normal day-ahead scheduling deadline to accommodate changes before the hour.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14.2 -- Reservation Priority of Nonfirm Point-to-Point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360" w:start="180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eliminate reservations for day-ahead nonfirm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For other nonfirm service, 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have the bid up process stop at some reasonable time before scheduling so that customers can count on owning secure transmission rights.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merely changing the source or sink for reserved service does not constitute a request for new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there is no payment for nonfirm service that is curtailed by </w:t>
      </w:r>
      <w:r>
        <w:rPr>
          <w:rFonts w:eastAsia="Times New Roman" w:cs="Times New Roman" w:ascii="Times New Roman" w:hAnsi="Times New Roman"/>
          <w:i/>
          <w:iCs/>
          <w:color w:val="000000"/>
          <w:sz w:val="24"/>
          <w:szCs w:val="24"/>
        </w:rPr>
        <w:t xml:space="preserve">any </w:t>
      </w:r>
      <w:r>
        <w:rPr>
          <w:rFonts w:eastAsia="Times New Roman" w:cs="Times New Roman" w:ascii="Times New Roman" w:hAnsi="Times New Roman"/>
          <w:color w:val="000000"/>
          <w:sz w:val="24"/>
          <w:szCs w:val="24"/>
        </w:rPr>
        <w:t>control area.</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14.3 -- Use of Nonfirm Point-to-Point Transmission Service by the Transmission Provider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 Transmission Provider’s requests and schedules must be completely and timely disclosed on OASIS to ensure comparability.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14.5 -- Classification of Nonfirm Point-to-Point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NERC tag is not required to reserve or schedule nonfirm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14.7 -- Curtailment or Interruption of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give nonfirm customers the right to make a timely, informed decision whether to avoid curtailment by paying redispatch costs that are posted and calculated in advance on OASIS as part of the service specifications.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nonfirm service interruptible to accommodate a request for service of longer duration, but not simply at a higher price, once the bid-up process ends.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The Commission should</w:t>
      </w:r>
      <w:r>
        <w:rPr>
          <w:rFonts w:eastAsia="Times New Roman" w:cs="Times New Roman" w:ascii="Times New Roman" w:hAnsi="Times New Roman"/>
          <w:b/>
          <w:bCs/>
          <w:color w:val="000000"/>
          <w:sz w:val="24"/>
          <w:szCs w:val="24"/>
        </w:rPr>
        <w:t xml:space="preserve"> reconsider and clarify</w:t>
      </w:r>
      <w:r>
        <w:rPr>
          <w:rFonts w:eastAsia="Times New Roman" w:cs="Times New Roman" w:ascii="Times New Roman" w:hAnsi="Times New Roman"/>
          <w:color w:val="000000"/>
          <w:sz w:val="24"/>
          <w:szCs w:val="24"/>
        </w:rPr>
        <w:t xml:space="preserve"> so that transactions may be curtailed according to duration (shortest to longest), but not according to price, </w:t>
      </w:r>
      <w:r>
        <w:rPr>
          <w:rFonts w:eastAsia="Times New Roman" w:cs="Times New Roman" w:ascii="Times New Roman" w:hAnsi="Times New Roman"/>
          <w:i/>
          <w:iCs/>
          <w:color w:val="000000"/>
          <w:sz w:val="24"/>
          <w:szCs w:val="24"/>
        </w:rPr>
        <w:t>only</w:t>
      </w:r>
      <w:r>
        <w:rPr>
          <w:rFonts w:eastAsia="Times New Roman" w:cs="Times New Roman" w:ascii="Times New Roman" w:hAnsi="Times New Roman"/>
          <w:color w:val="000000"/>
          <w:sz w:val="24"/>
          <w:szCs w:val="24"/>
        </w:rPr>
        <w:t xml:space="preserve"> if they materially affect a constraint.  It is unacceptable, for example, arbitrarily to cut all hourly nonfirm.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15.2 -- Determination of Available Transmission Capacity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have ATC calculated on a regional or super-regional basis by one or more </w:t>
      </w:r>
      <w:r>
        <w:rPr>
          <w:rFonts w:eastAsia="Times New Roman" w:cs="Times New Roman" w:ascii="Times New Roman" w:hAnsi="Times New Roman"/>
          <w:i/>
          <w:iCs/>
          <w:color w:val="000000"/>
          <w:sz w:val="24"/>
          <w:szCs w:val="24"/>
        </w:rPr>
        <w:t>independent</w:t>
      </w:r>
      <w:r>
        <w:rPr>
          <w:rFonts w:eastAsia="Times New Roman" w:cs="Times New Roman" w:ascii="Times New Roman" w:hAnsi="Times New Roman"/>
          <w:color w:val="000000"/>
          <w:sz w:val="24"/>
          <w:szCs w:val="24"/>
        </w:rPr>
        <w:t xml:space="preserve"> entities.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Alternatively, 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ATC supporting data must be easily accessible in a commercially reasonable format over OASIS for audit by customers and the Commission.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15.3 -- Initiating Service in the Absence of an Executed Service Agreement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Subject to the terms of the tariff, 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Commission-approved service agreement is not a prerequisite to initiating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15.7 -- Real Power Losses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calculation and accounting of Real Power Losses should be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standardized nationally.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17.3 -- Deposit [Firm]</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not require a deposit once the Transmission Provider finds that the customer meets the creditworthiness standard of Section 11.</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17.4 -- Notice of Deficient Application [Firm]</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 Transmission Provider should respond to a deficient request  within no more than four hours.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17.5 -- Response to Completed Application [Firm]</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 Transmission Provider must respond to a conforming request for daily service as soon possible, but in no more than six hours.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the procedures and response deadlines for short-term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hourly) firm service parallel to those for nonfirm service in Sections 18.1 to 18.4.</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18.2 -- Completed Application [Nonfirm]</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NERC tag is not required.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18.3 -- Reservation of Nonfirm Point-to-Point Transmission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If there is a reservation process, 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eliminate the limit on how soon a customer can request service. Requests should be processed as soon as ATC is required to be posted on OASIS.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18.4 -- Determination of Available Transmission Capability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allow transmission customers a window in which to respond to a determination of transmission capacity.  The customer’s response time should be at least </w:t>
      </w:r>
      <w:r>
        <w:rPr>
          <w:rFonts w:eastAsia="Times New Roman" w:cs="Times New Roman" w:ascii="Times New Roman" w:hAnsi="Times New Roman"/>
          <w:i/>
          <w:iCs/>
          <w:color w:val="000000"/>
          <w:sz w:val="24"/>
          <w:szCs w:val="24"/>
        </w:rPr>
        <w:t>one-half</w:t>
      </w:r>
      <w:r>
        <w:rPr>
          <w:rFonts w:eastAsia="Times New Roman" w:cs="Times New Roman" w:ascii="Times New Roman" w:hAnsi="Times New Roman"/>
          <w:color w:val="000000"/>
          <w:sz w:val="24"/>
          <w:szCs w:val="24"/>
        </w:rPr>
        <w:t xml:space="preserve"> of the </w:t>
      </w:r>
      <w:r>
        <w:rPr>
          <w:rFonts w:eastAsia="Times New Roman" w:cs="Times New Roman" w:ascii="Times New Roman" w:hAnsi="Times New Roman"/>
          <w:i/>
          <w:iCs/>
          <w:color w:val="000000"/>
          <w:sz w:val="24"/>
          <w:szCs w:val="24"/>
        </w:rPr>
        <w:t>minimum</w:t>
      </w:r>
      <w:r>
        <w:rPr>
          <w:rFonts w:eastAsia="Times New Roman" w:cs="Times New Roman" w:ascii="Times New Roman" w:hAnsi="Times New Roman"/>
          <w:color w:val="000000"/>
          <w:sz w:val="24"/>
          <w:szCs w:val="24"/>
        </w:rPr>
        <w:t xml:space="preserve"> time left before the commencement of service -- </w:t>
      </w:r>
      <w:r>
        <w:rPr>
          <w:rFonts w:eastAsia="Times New Roman" w:cs="Times New Roman" w:ascii="Times New Roman" w:hAnsi="Times New Roman"/>
          <w:i/>
          <w:iCs/>
          <w:color w:val="000000"/>
          <w:sz w:val="24"/>
          <w:szCs w:val="24"/>
        </w:rPr>
        <w:t>e.g.</w:t>
      </w:r>
      <w:r>
        <w:rPr>
          <w:rFonts w:eastAsia="Times New Roman" w:cs="Times New Roman" w:ascii="Times New Roman" w:hAnsi="Times New Roman"/>
          <w:color w:val="000000"/>
          <w:sz w:val="24"/>
          <w:szCs w:val="24"/>
        </w:rPr>
        <w:t>, 15 minutes for hourly and daily service (half of 30 minutes); two hours for weekly service; one day for monthly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“tendered schedule”; a Transmission Provider should not have a chance to reject an accepted schedule once it is too late for a customer to make other plans.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19 -- Additional Study Procedures for Firm Point-to-Point Transmission Service Requested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have ATC calculated on a regional or super-regional basis by one or more </w:t>
      </w:r>
      <w:r>
        <w:rPr>
          <w:rFonts w:eastAsia="Times New Roman" w:cs="Times New Roman" w:ascii="Times New Roman" w:hAnsi="Times New Roman"/>
          <w:i/>
          <w:iCs/>
          <w:color w:val="000000"/>
          <w:sz w:val="24"/>
          <w:szCs w:val="24"/>
        </w:rPr>
        <w:t>independent</w:t>
      </w:r>
      <w:r>
        <w:rPr>
          <w:rFonts w:eastAsia="Times New Roman" w:cs="Times New Roman" w:ascii="Times New Roman" w:hAnsi="Times New Roman"/>
          <w:color w:val="000000"/>
          <w:sz w:val="24"/>
          <w:szCs w:val="24"/>
        </w:rPr>
        <w:t xml:space="preserve"> entities.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firstLine="180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firstLine="180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customer may require a Transmission Provider to perform a system impact study at the customer’s reasonable costs.  Additionally, the Transmission Provider should be required to provide a binding estimate of costs, or notify and get the consent of the customer before going over a specified cost cap.</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firstLine="1080" w:start="0" w:end="0"/>
        <w:jc w:val="both"/>
        <w:rPr>
          <w:rFonts w:ascii="Times New Roman" w:hAnsi="Times New Roman" w:eastAsia="Times New Roman" w:cs="Times New Roman"/>
          <w:color w:val="000000"/>
          <w:sz w:val="24"/>
          <w:szCs w:val="24"/>
        </w:rPr>
      </w:pPr>
      <w:r>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firstLine="180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the deadlines for system studies regarding service for terms shorter than one year correspondingly shorter.  For example, one week is reasonable for a study of monthly service.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Section 22 -- Changes in Service Specifications </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merely changing the source or sink for reserved service does not constitute a request for new service.</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firm customer can change a receipt or delivery point on a </w:t>
      </w:r>
      <w:r>
        <w:rPr>
          <w:rFonts w:eastAsia="Times New Roman" w:cs="Times New Roman" w:ascii="Times New Roman" w:hAnsi="Times New Roman"/>
          <w:i/>
          <w:iCs/>
          <w:color w:val="000000"/>
          <w:sz w:val="24"/>
          <w:szCs w:val="24"/>
        </w:rPr>
        <w:t>permanent</w:t>
      </w:r>
      <w:r>
        <w:rPr>
          <w:rFonts w:eastAsia="Times New Roman" w:cs="Times New Roman" w:ascii="Times New Roman" w:hAnsi="Times New Roman"/>
          <w:color w:val="000000"/>
          <w:sz w:val="24"/>
          <w:szCs w:val="24"/>
        </w:rPr>
        <w:t xml:space="preserve"> basis, thereby maintaining its firm service priority so long as the requested change does not change the path over a congested interface.</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23 -- Sale or Assignment of Transmission Service</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“Reseller’s opportunity cost.” </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Reseller may make a market in any subdivided transmission products or terms of service. </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 Transmission Provider’s and Reseller’s duties flow from ordinary contract principles governing assignments.</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Schedule 7 -- Long-Term Firm and Short-Term Firm Point-to-Point Transmission Service</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make provision of hourly firm service mandatory for Transmission Providers that purchase economy energy in hourly markets.</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Attachment A </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eliminate the deposit requirement for creditworthy customers (Section 3.0).</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an agreement to provide service is presumed unconditional and requires the Transmission Provider to arrange redispatch at its own expense if necessary.</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there is no charge in the event of curtailment for any reason (Section 5.0).</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add a liquidated damages clause for a Transmission Provider’s unreasonable failure to redispatch.</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Attachment B</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w:t>
      </w:r>
      <w:r>
        <w:rPr>
          <w:rFonts w:eastAsia="Times New Roman" w:cs="Times New Roman" w:ascii="Times New Roman" w:hAnsi="Times New Roman"/>
          <w:color w:val="000000"/>
          <w:sz w:val="24"/>
          <w:szCs w:val="24"/>
        </w:rPr>
        <w:t xml:space="preserve"> and eliminate any take-or-pay liability for day-ahead nonfirm service.</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reconsider and clarify</w:t>
      </w:r>
      <w:r>
        <w:rPr>
          <w:rFonts w:eastAsia="Times New Roman" w:cs="Times New Roman" w:ascii="Times New Roman" w:hAnsi="Times New Roman"/>
          <w:color w:val="000000"/>
          <w:sz w:val="24"/>
          <w:szCs w:val="24"/>
        </w:rPr>
        <w:t xml:space="preserve"> so that nonfirm customers have the right to make a timely, informed decision whether to avert potential curtailment by exercising an option to pay redispatch costs that are posted in advance on OASIS.</w:t>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
    </w:p>
    <w:p>
      <w:pPr>
        <w:pStyle w:val="Normal"/>
        <w:tabs>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s>
        <w:bidi w:val="0"/>
        <w:spacing w:lineRule="auto" w:line="240" w:before="0" w:after="0"/>
        <w:ind w:hanging="0" w:start="1440" w:end="0"/>
        <w:jc w:val="both"/>
        <w:rPr/>
      </w:pPr>
      <w:r>
        <w:rPr>
          <w:rFonts w:eastAsia="Times New Roman" w:cs="Times New Roman" w:ascii="Times New Roman" w:hAnsi="Times New Roman"/>
          <w:color w:val="000000"/>
          <w:sz w:val="24"/>
          <w:szCs w:val="24"/>
        </w:rPr>
        <w:t xml:space="preserve">The Commission should </w:t>
      </w:r>
      <w:r>
        <w:rPr>
          <w:rFonts w:eastAsia="Times New Roman" w:cs="Times New Roman" w:ascii="Times New Roman" w:hAnsi="Times New Roman"/>
          <w:b/>
          <w:bCs/>
          <w:color w:val="000000"/>
          <w:sz w:val="24"/>
          <w:szCs w:val="24"/>
        </w:rPr>
        <w:t>clarify</w:t>
      </w:r>
      <w:r>
        <w:rPr>
          <w:rFonts w:eastAsia="Times New Roman" w:cs="Times New Roman" w:ascii="Times New Roman" w:hAnsi="Times New Roman"/>
          <w:color w:val="000000"/>
          <w:sz w:val="24"/>
          <w:szCs w:val="24"/>
        </w:rPr>
        <w:t xml:space="preserve"> that a firm customer who is unable to schedule or does not submit a schedule will not incur an ancillary service scheduling charge.</w:t>
      </w:r>
    </w:p>
    <w:sectPr>
      <w:headerReference w:type="default" r:id="rId34"/>
      <w:footerReference w:type="default" r:id="rId35"/>
      <w:footnotePr>
        <w:numFmt w:val="decimal"/>
      </w:footnotePr>
      <w:type w:val="nextPage"/>
      <w:pgSz w:w="12240" w:h="15840"/>
      <w:pgMar w:left="0" w:right="1440" w:gutter="0" w:header="1440" w:top="1723" w:footer="475" w:bottom="75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Times New">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WATKJD\018370\004001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DC\87307.1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7/24/98--3:30 pm</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440" w:end="0"/>
      <w:jc w:val="both"/>
      <w:rPr>
        <w:rFonts w:ascii="Times New Roman" w:hAnsi="Times New Roman" w:eastAsia="Times New Roman" w:cs="Times New Roman"/>
        <w:color w:val="000000"/>
        <w:sz w:val="24"/>
        <w:szCs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WATKJD\018370\004001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DC\87307.1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7/24/98--3:30 pm</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WATKJD\018370\004001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DC\87307.1</w:t>
    </w:r>
  </w:p>
  <w:p>
    <w:pPr>
      <w:pStyle w:val="Normal"/>
      <w:bidi w:val="0"/>
      <w:spacing w:lineRule="auto" w:line="240" w:before="0" w:after="0"/>
      <w:ind w:hanging="0" w:start="0" w:end="0"/>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7/24/98--3:30 pm</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The Petitioners are composed of the organizations listed in App. A, hereto.</w:t>
      </w:r>
    </w:p>
  </w:footnote>
  <w:footnote w:id="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In App. B, from the perspective of a new entrant in the power sales arena, we recount how unreliable ATC information and cumbersome access rules compound transaction costs and risks, and deter new market entry.</w:t>
      </w:r>
    </w:p>
  </w:footnote>
  <w:footnote w:id="4">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All discussions in this petition pertaining to OASIS, particularly those in Section III B., should be read to include the full Standards of Conduct.</w:t>
      </w:r>
    </w:p>
  </w:footnote>
  <w:footnote w:id="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In this petition, we use the term reliability in its ordinary sense, denoting both system security and system adequacy.</w:t>
      </w:r>
    </w:p>
  </w:footnote>
  <w:footnote w:id="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Activity as of March 2, 1998</w:t>
      </w:r>
      <w:r>
        <w:rPr>
          <w:rFonts w:eastAsia="Times New Roman" w:cs="Times New Roman" w:ascii="Times New Roman" w:hAnsi="Times New Roman"/>
          <w:color w:val="000000"/>
          <w:sz w:val="22"/>
          <w:szCs w:val="22"/>
        </w:rPr>
        <w:t xml:space="preserve"> (visited March 24, 1998) &lt;http://www.eia.doe.gov/cneaf/electricity/</w:t>
      </w:r>
    </w:p>
    <w:p>
      <w:pPr>
        <w:pStyle w:val="Normal"/>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chg_str/TAB5REV.html&gt;  U.S. Department of Energy, Energy Information Administration, </w:t>
      </w:r>
      <w:r>
        <w:rPr>
          <w:rFonts w:eastAsia="Times New Roman" w:cs="Times New Roman" w:ascii="Times New Roman" w:hAnsi="Times New Roman"/>
          <w:i/>
          <w:iCs/>
          <w:color w:val="000000"/>
          <w:sz w:val="22"/>
          <w:szCs w:val="22"/>
        </w:rPr>
        <w:t>Status of State Electric Utility Deregulation</w:t>
      </w:r>
      <w:r>
        <w:rPr>
          <w:rFonts w:eastAsia="Times New Roman" w:cs="Times New Roman" w:ascii="Times New Roman" w:hAnsi="Times New Roman"/>
          <w:color w:val="000000"/>
          <w:sz w:val="22"/>
          <w:szCs w:val="22"/>
        </w:rPr>
        <w:t>.</w:t>
      </w:r>
    </w:p>
  </w:footnote>
  <w:footnote w:id="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Among those safeguards are the standards of conduct of Order No. 889 that are intended to ensure that transmission providers do not use their unique access to information unfairly to favor their own merchant functions or those of affiliates.  </w:t>
      </w:r>
      <w:r>
        <w:rPr>
          <w:rFonts w:eastAsia="Times New Roman" w:cs="Times New Roman" w:ascii="Times New Roman" w:hAnsi="Times New Roman"/>
          <w:i/>
          <w:iCs/>
          <w:color w:val="000000"/>
          <w:sz w:val="22"/>
          <w:szCs w:val="22"/>
        </w:rPr>
        <w:t>See Open Access Same-Time Information System and Standards of Conduct, Order No. 889</w:t>
      </w:r>
      <w:r>
        <w:rPr>
          <w:rFonts w:eastAsia="Times New Roman" w:cs="Times New Roman" w:ascii="Times New Roman" w:hAnsi="Times New Roman"/>
          <w:color w:val="000000"/>
          <w:sz w:val="22"/>
          <w:szCs w:val="22"/>
        </w:rPr>
        <w:t xml:space="preserve">,  [1991-96 Regs. Preambles] F.E.R.C. Stats. &amp; Regs. at 31,594 [hereinafter cited as </w:t>
      </w:r>
      <w:r>
        <w:rPr>
          <w:rFonts w:eastAsia="Times New Roman" w:cs="Times New Roman" w:ascii="Times New Roman" w:hAnsi="Times New Roman"/>
          <w:i/>
          <w:iCs/>
          <w:color w:val="000000"/>
          <w:sz w:val="22"/>
          <w:szCs w:val="22"/>
        </w:rPr>
        <w:t>Order No. 889</w:t>
      </w:r>
      <w:r>
        <w:rPr>
          <w:rFonts w:eastAsia="Times New Roman" w:cs="Times New Roman" w:ascii="Times New Roman" w:hAnsi="Times New Roman"/>
          <w:color w:val="000000"/>
          <w:sz w:val="22"/>
          <w:szCs w:val="22"/>
        </w:rPr>
        <w:t xml:space="preserve">].  These standards require the physical and informational separation  of transmission operations from a transmission provider’s wholesale merchant functions, but not from its retail merchant functions.  </w:t>
      </w:r>
      <w:r>
        <w:rPr>
          <w:rFonts w:eastAsia="Times New Roman" w:cs="Times New Roman" w:ascii="Times New Roman" w:hAnsi="Times New Roman"/>
          <w:i/>
          <w:iCs/>
          <w:color w:val="000000"/>
          <w:sz w:val="22"/>
          <w:szCs w:val="22"/>
        </w:rPr>
        <w:t xml:space="preserve">See Order No. 889-A, </w:t>
      </w:r>
      <w:r>
        <w:rPr>
          <w:rFonts w:eastAsia="Times New Roman" w:cs="Times New Roman" w:ascii="Times New Roman" w:hAnsi="Times New Roman"/>
          <w:color w:val="000000"/>
          <w:sz w:val="22"/>
          <w:szCs w:val="22"/>
        </w:rPr>
        <w:t>III F.E.R.C. Stats. &amp; Regs. at 30,552 (modifying 18 C.F.R. § 37.3(c) so that a utility purchase for its native load customers is not deemed a sale for resale subject to the standards of conduct).</w:t>
      </w:r>
    </w:p>
  </w:footnote>
  <w:footnote w:id="8">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In a passage from Order No. 888 emphasized in the order on rehearing, the Commission further explained its reasoning:</w:t>
      </w:r>
    </w:p>
    <w:p>
      <w:pPr>
        <w:pStyle w:val="Normal"/>
        <w:bidi w:val="0"/>
        <w:spacing w:lineRule="auto" w:line="240" w:before="0" w:after="0"/>
        <w:ind w:hanging="0" w:start="1440" w:end="720"/>
        <w:jc w:val="both"/>
        <w:rPr/>
      </w:pPr>
      <w:r>
        <w:rPr>
          <w:rFonts w:eastAsia="Times New Roman" w:cs="Times New Roman" w:ascii="Times New Roman" w:hAnsi="Times New Roman"/>
          <w:color w:val="000000"/>
          <w:sz w:val="22"/>
          <w:szCs w:val="22"/>
        </w:rPr>
        <w:t xml:space="preserve">when a retail transaction is broken into two products that are sold separately . . . we believe the jurisdictional lines change.  In this situation, the state clearly retains jurisdiction over the sale of the power.  However, the unbundled transmission service involves </w:t>
      </w:r>
      <w:r>
        <w:rPr>
          <w:rFonts w:eastAsia="Times New Roman" w:cs="Times New Roman" w:ascii="Times New Roman" w:hAnsi="Times New Roman"/>
          <w:i/>
          <w:iCs/>
          <w:color w:val="000000"/>
          <w:sz w:val="22"/>
          <w:szCs w:val="22"/>
        </w:rPr>
        <w:t>only</w:t>
      </w:r>
      <w:r>
        <w:rPr>
          <w:rFonts w:eastAsia="Times New Roman" w:cs="Times New Roman" w:ascii="Times New Roman" w:hAnsi="Times New Roman"/>
          <w:color w:val="000000"/>
          <w:sz w:val="22"/>
          <w:szCs w:val="22"/>
        </w:rPr>
        <w:t xml:space="preserve"> the provision of “transmission in interstate commerce” which, under the FPA, is exclusively within the jurisdiction of the Commission.  Therefore, when a bundled retail sale is unbundled and becomes separate transmission and power sales transactions, the resulting transmission transaction falls within the Federal sphere of regulation.</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pPr>
      <w:r>
        <w:rPr>
          <w:rFonts w:eastAsia="Times New Roman" w:cs="Times New Roman" w:ascii="Times New Roman" w:hAnsi="Times New Roman"/>
          <w:i/>
          <w:iCs/>
          <w:color w:val="000000"/>
          <w:sz w:val="22"/>
          <w:szCs w:val="22"/>
        </w:rPr>
        <w:t>Order No. 888-A</w:t>
      </w:r>
      <w:r>
        <w:rPr>
          <w:rFonts w:eastAsia="Times New Roman" w:cs="Times New Roman" w:ascii="Times New Roman" w:hAnsi="Times New Roman"/>
          <w:color w:val="000000"/>
          <w:sz w:val="22"/>
          <w:szCs w:val="22"/>
        </w:rPr>
        <w:t xml:space="preserve">, III F.E.R.C. Stats. &amp; Regs. at 30,225-26 (quoting </w:t>
      </w:r>
      <w:r>
        <w:rPr>
          <w:rFonts w:eastAsia="Times New Roman" w:cs="Times New Roman" w:ascii="Times New Roman" w:hAnsi="Times New Roman"/>
          <w:i/>
          <w:iCs/>
          <w:color w:val="000000"/>
          <w:sz w:val="22"/>
          <w:szCs w:val="22"/>
        </w:rPr>
        <w:t>Order No. 888</w:t>
      </w:r>
      <w:r>
        <w:rPr>
          <w:rFonts w:eastAsia="Times New Roman" w:cs="Times New Roman" w:ascii="Times New Roman" w:hAnsi="Times New Roman"/>
          <w:color w:val="000000"/>
          <w:sz w:val="22"/>
          <w:szCs w:val="22"/>
        </w:rPr>
        <w:t>, 1991-96 Regs. Preambles] F.E.R.C. Stats. &amp; Regs. at 31,781).</w:t>
      </w:r>
    </w:p>
  </w:footnote>
  <w:footnote w:id="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Investor-owned utilities (“IOUs”) sold a total of 2,805,677,000 kwH of electricity in 1996.  </w:t>
      </w:r>
      <w:r>
        <w:rPr>
          <w:rFonts w:eastAsia="Times New Roman" w:cs="Times New Roman" w:ascii="Times New Roman" w:hAnsi="Times New Roman"/>
          <w:i/>
          <w:iCs/>
          <w:color w:val="000000"/>
          <w:sz w:val="22"/>
          <w:szCs w:val="22"/>
        </w:rPr>
        <w:t>EEI Statistical Yearbook,</w:t>
      </w:r>
      <w:r>
        <w:rPr>
          <w:rFonts w:eastAsia="Times New Roman" w:cs="Times New Roman" w:ascii="Times New Roman" w:hAnsi="Times New Roman"/>
          <w:color w:val="000000"/>
          <w:sz w:val="22"/>
          <w:szCs w:val="22"/>
        </w:rPr>
        <w:t xml:space="preserve"> 41 tbl.39 (1996).  Of this total, IOUs sold 2,335,683,000 kwH to ultimate consumers and sold 469,994,000 kwH for resale to non-IOUs.  </w:t>
      </w:r>
      <w:r>
        <w:rPr>
          <w:rFonts w:eastAsia="Times New Roman" w:cs="Times New Roman" w:ascii="Times New Roman" w:hAnsi="Times New Roman"/>
          <w:i/>
          <w:iCs/>
          <w:color w:val="000000"/>
          <w:sz w:val="22"/>
          <w:szCs w:val="22"/>
        </w:rPr>
        <w:t>Id.</w:t>
      </w:r>
      <w:r>
        <w:rPr>
          <w:rFonts w:eastAsia="Times New Roman" w:cs="Times New Roman" w:ascii="Times New Roman" w:hAnsi="Times New Roman"/>
          <w:color w:val="000000"/>
          <w:sz w:val="22"/>
          <w:szCs w:val="22"/>
        </w:rPr>
        <w:t xml:space="preserve">  The 470 million kwH sold for resale (about 16.7 percent of total IOU sales) is an inflated number, however, because it includes repeat sales of the same power.  Thus, the total amount of electricity sales in the wholesale power market constitutes, at most, less than 16.7 percent of total IOU annual electricity sales, but is likely far smaller given the fact that this percentage includes multiple sales of the same electric energy.</w:t>
      </w:r>
    </w:p>
  </w:footnote>
  <w:footnote w:id="1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See infra</w:t>
      </w:r>
      <w:r>
        <w:rPr>
          <w:rFonts w:eastAsia="Times New Roman" w:cs="Times New Roman" w:ascii="Times New Roman" w:hAnsi="Times New Roman"/>
          <w:color w:val="000000"/>
          <w:sz w:val="22"/>
          <w:szCs w:val="22"/>
        </w:rPr>
        <w:t xml:space="preserve"> Part VI.</w:t>
      </w:r>
    </w:p>
  </w:footnote>
  <w:footnote w:id="1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Comments of the Staff of the Bureau of Economics of the Federal Trade Commission</w:t>
      </w:r>
      <w:r>
        <w:rPr>
          <w:rFonts w:eastAsia="Times New Roman" w:cs="Times New Roman" w:ascii="Times New Roman" w:hAnsi="Times New Roman"/>
          <w:color w:val="000000"/>
          <w:sz w:val="22"/>
          <w:szCs w:val="22"/>
        </w:rPr>
        <w:t xml:space="preserve"> at 3</w:t>
      </w:r>
      <w:r>
        <w:rPr>
          <w:rFonts w:eastAsia="Times New Roman" w:cs="Times New Roman" w:ascii="Times New Roman" w:hAnsi="Times New Roman"/>
          <w:i/>
          <w:iCs/>
          <w:color w:val="000000"/>
          <w:sz w:val="22"/>
          <w:szCs w:val="22"/>
        </w:rPr>
        <w:t>, Order No. 888</w:t>
      </w:r>
      <w:r>
        <w:rPr>
          <w:rFonts w:eastAsia="Times New Roman" w:cs="Times New Roman" w:ascii="Times New Roman" w:hAnsi="Times New Roman"/>
          <w:color w:val="000000"/>
          <w:sz w:val="22"/>
          <w:szCs w:val="22"/>
        </w:rPr>
        <w:t xml:space="preserve">, Docket Nos., RM95-8-000, </w:t>
      </w:r>
      <w:r>
        <w:rPr>
          <w:rFonts w:eastAsia="Times New Roman" w:cs="Times New Roman" w:ascii="Times New Roman" w:hAnsi="Times New Roman"/>
          <w:i/>
          <w:iCs/>
          <w:color w:val="000000"/>
          <w:sz w:val="22"/>
          <w:szCs w:val="22"/>
        </w:rPr>
        <w:t xml:space="preserve">et al. </w:t>
      </w:r>
      <w:r>
        <w:rPr>
          <w:rFonts w:eastAsia="Times New Roman" w:cs="Times New Roman" w:ascii="Times New Roman" w:hAnsi="Times New Roman"/>
          <w:color w:val="000000"/>
          <w:sz w:val="22"/>
          <w:szCs w:val="22"/>
        </w:rPr>
        <w:t xml:space="preserve">(filed Aug. 7, 1995) [hereinafter cited as </w:t>
      </w:r>
      <w:r>
        <w:rPr>
          <w:rFonts w:eastAsia="Times New Roman" w:cs="Times New Roman" w:ascii="Times New Roman" w:hAnsi="Times New Roman"/>
          <w:i/>
          <w:iCs/>
          <w:color w:val="000000"/>
          <w:sz w:val="22"/>
          <w:szCs w:val="22"/>
        </w:rPr>
        <w:t>BE/FTC Comments]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 xml:space="preserve">see also Comments of the Staff of the Bureau of Economics of the Federal Trade Commission, New England Power Pool, </w:t>
      </w:r>
      <w:r>
        <w:rPr>
          <w:rFonts w:eastAsia="Times New Roman" w:cs="Times New Roman" w:ascii="Times New Roman" w:hAnsi="Times New Roman"/>
          <w:color w:val="000000"/>
          <w:sz w:val="22"/>
          <w:szCs w:val="22"/>
        </w:rPr>
        <w:t xml:space="preserve">Docket Nos. ER97-237, </w:t>
      </w:r>
      <w:r>
        <w:rPr>
          <w:rFonts w:eastAsia="Times New Roman" w:cs="Times New Roman" w:ascii="Times New Roman" w:hAnsi="Times New Roman"/>
          <w:i/>
          <w:iCs/>
          <w:color w:val="000000"/>
          <w:sz w:val="22"/>
          <w:szCs w:val="22"/>
        </w:rPr>
        <w:t xml:space="preserve">et al. </w:t>
      </w:r>
      <w:r>
        <w:rPr>
          <w:rFonts w:eastAsia="Times New Roman" w:cs="Times New Roman" w:ascii="Times New Roman" w:hAnsi="Times New Roman"/>
          <w:color w:val="000000"/>
          <w:sz w:val="22"/>
          <w:szCs w:val="22"/>
        </w:rPr>
        <w:t>(filed Feb. 6, 1998) (arguing in favor of structural separation of generation and transmission and against exclusive reliance on behavioral rules to detect and police market power in connection with market-based sales in the restructure NEPOOL).</w:t>
      </w:r>
    </w:p>
  </w:footnote>
  <w:footnote w:id="1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Among the reasons that the BE/FTC has consistently favored structural over behavioral solutions is that discrimination highly detrimental to competition can be subtle and therefore difficult to detect. “Discrimination could appear as a subtle reduction in quality of service, whose effects would be more difficult to identify and measure than outright denial of access.”  </w:t>
      </w:r>
      <w:r>
        <w:rPr>
          <w:rFonts w:eastAsia="Times New Roman" w:cs="Times New Roman" w:ascii="Times New Roman" w:hAnsi="Times New Roman"/>
          <w:i/>
          <w:iCs/>
          <w:color w:val="000000"/>
          <w:sz w:val="22"/>
          <w:szCs w:val="22"/>
        </w:rPr>
        <w:t xml:space="preserve">BE/FTC Comments, supra </w:t>
      </w:r>
      <w:r>
        <w:rPr>
          <w:rFonts w:eastAsia="Times New Roman" w:cs="Times New Roman" w:ascii="Times New Roman" w:hAnsi="Times New Roman"/>
          <w:color w:val="000000"/>
          <w:sz w:val="22"/>
          <w:szCs w:val="22"/>
        </w:rPr>
        <w:t>note 8, at 6.</w:t>
      </w:r>
    </w:p>
  </w:footnote>
  <w:footnote w:id="1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Petitioners acknowledge the positive proposal to transform NERC into NAERO.  The proposed NAERO, with reasonably balanced representation and voting, could play a valuable role in adapting reliable systems operations to the needs of a restructured marketplace.</w:t>
      </w:r>
    </w:p>
  </w:footnote>
  <w:footnote w:id="14">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The need to balance and coordinate systems operations requirements and commercial markets flexibility is emphasized in a recent Interim Report of the Secretary of Energy Advisory Board, Task Force on Electric System Reliability.  The Interim Report is attached as App. C, hereto.</w:t>
      </w:r>
    </w:p>
  </w:footnote>
  <w:footnote w:id="1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As we explain in Part II, the Commission’s limited assertion of jurisdiction in Order No. 888 has the similar effect of conferring on state regulators and individual transmission providers the power to define the scope of the Commission’s jurisdiction over transmission and its ability to reach undue discrimination.</w:t>
      </w:r>
    </w:p>
  </w:footnote>
  <w:footnote w:id="1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See supra</w:t>
      </w:r>
      <w:r>
        <w:rPr>
          <w:rFonts w:eastAsia="Times New Roman" w:cs="Times New Roman" w:ascii="Times New Roman" w:hAnsi="Times New Roman"/>
          <w:color w:val="000000"/>
          <w:sz w:val="22"/>
          <w:szCs w:val="22"/>
        </w:rPr>
        <w:t xml:space="preserve"> note 7.</w:t>
      </w:r>
    </w:p>
  </w:footnote>
  <w:footnote w:id="1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The “transmission of electric energy in interstate commerce” is defined in the FPA as electric energy “transmitted in interstate commerce if transmitted from a State and consumed at any point outside thereof; but only insofar as such transmission takes place within the United States.”  16 U.S.C. § 824(c).</w:t>
      </w:r>
    </w:p>
  </w:footnote>
  <w:footnote w:id="18">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The remainder of App. G. to Order No. 888 is devoted to the second limitation and the determination of </w:t>
      </w:r>
      <w:r>
        <w:rPr>
          <w:rFonts w:eastAsia="Times New Roman" w:cs="Times New Roman" w:ascii="Times New Roman" w:hAnsi="Times New Roman"/>
          <w:color w:val="000000"/>
          <w:sz w:val="22"/>
          <w:szCs w:val="22"/>
        </w:rPr>
        <w:t>where to draw the jurisdictional boundary between unbundled transmission and local distribution.</w:t>
      </w:r>
    </w:p>
  </w:footnote>
  <w:footnote w:id="1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Indeed, any such reading of </w:t>
      </w:r>
      <w:r>
        <w:rPr>
          <w:rFonts w:eastAsia="Times New Roman" w:cs="Times New Roman" w:ascii="Times New Roman" w:hAnsi="Times New Roman"/>
          <w:i/>
          <w:iCs/>
          <w:color w:val="000000"/>
          <w:sz w:val="22"/>
          <w:szCs w:val="22"/>
        </w:rPr>
        <w:t>United Distribution Cos.</w:t>
      </w:r>
      <w:r>
        <w:rPr>
          <w:rFonts w:eastAsia="Times New Roman" w:cs="Times New Roman" w:ascii="Times New Roman" w:hAnsi="Times New Roman"/>
          <w:color w:val="000000"/>
          <w:sz w:val="22"/>
          <w:szCs w:val="22"/>
        </w:rPr>
        <w:t xml:space="preserve"> would be at war with the court’s holding in </w:t>
      </w:r>
      <w:r>
        <w:rPr>
          <w:rFonts w:eastAsia="Times New Roman" w:cs="Times New Roman" w:ascii="Times New Roman" w:hAnsi="Times New Roman"/>
          <w:i/>
          <w:iCs/>
          <w:color w:val="000000"/>
          <w:sz w:val="22"/>
          <w:szCs w:val="22"/>
        </w:rPr>
        <w:t>Mississippi River Transmission Corp. v. FERC,</w:t>
      </w:r>
      <w:r>
        <w:rPr>
          <w:rFonts w:eastAsia="Times New Roman" w:cs="Times New Roman" w:ascii="Times New Roman" w:hAnsi="Times New Roman"/>
          <w:color w:val="000000"/>
          <w:sz w:val="22"/>
          <w:szCs w:val="22"/>
        </w:rPr>
        <w:t xml:space="preserve"> 969 F.2d 1215 (D.C. Cir. 1992), discussed </w:t>
      </w:r>
      <w:r>
        <w:rPr>
          <w:rFonts w:eastAsia="Times New Roman" w:cs="Times New Roman" w:ascii="Times New Roman" w:hAnsi="Times New Roman"/>
          <w:i/>
          <w:iCs/>
          <w:color w:val="000000"/>
          <w:sz w:val="22"/>
          <w:szCs w:val="22"/>
        </w:rPr>
        <w:t>supra</w:t>
      </w:r>
      <w:r>
        <w:rPr>
          <w:rFonts w:eastAsia="Times New Roman" w:cs="Times New Roman" w:ascii="Times New Roman" w:hAnsi="Times New Roman"/>
          <w:color w:val="000000"/>
          <w:sz w:val="22"/>
          <w:szCs w:val="22"/>
        </w:rPr>
        <w:t xml:space="preserve"> Part I. B.</w:t>
      </w:r>
    </w:p>
  </w:footnote>
  <w:footnote w:id="2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As explained in the examples in App. D, sometimes this valuable capacity across strategic interfaces is characterized as a capacity benefit margin and withheld by transmission owners from posting on OASIS and is not offered to potential competitors.</w:t>
      </w:r>
    </w:p>
  </w:footnote>
  <w:footnote w:id="2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We are not here advocating the abrogation or modification of pre-existing bilateral transmission agreements, which we believe should remain in effect according to their terms.</w:t>
      </w:r>
    </w:p>
  </w:footnote>
  <w:footnote w:id="2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Outside of system peak, a seller with responsibilities for serving loads could reasonably look to the liquid secondary market to obtain any shortfall between the reservations that it holds (equal to coincident peak) and any higher non-coincident peak requirements.</w:t>
      </w:r>
    </w:p>
  </w:footnote>
  <w:footnote w:id="2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In addition, in the CRT NOPR, the Commission pointed out that placing all customers on the same basis removes incentives customers may have to switch between services in order to avoid paying stranded costs.</w:t>
      </w:r>
    </w:p>
  </w:footnote>
  <w:footnote w:id="24">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Customers wishing  to reserve additional rights, beyond those on currently constraining interfaces, would be free to do so, for example, in the expectation that an interface may become constraining in the future.</w:t>
      </w:r>
    </w:p>
  </w:footnote>
  <w:footnote w:id="2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Concurring in the </w:t>
      </w:r>
      <w:r>
        <w:rPr>
          <w:rFonts w:eastAsia="Times New Roman" w:cs="Times New Roman" w:ascii="Times New Roman" w:hAnsi="Times New Roman"/>
          <w:i/>
          <w:iCs/>
          <w:color w:val="000000"/>
          <w:sz w:val="22"/>
          <w:szCs w:val="22"/>
        </w:rPr>
        <w:t xml:space="preserve">Florida Power </w:t>
      </w:r>
      <w:r>
        <w:rPr>
          <w:rFonts w:eastAsia="Times New Roman" w:cs="Times New Roman" w:ascii="Times New Roman" w:hAnsi="Times New Roman"/>
          <w:color w:val="000000"/>
          <w:sz w:val="22"/>
          <w:szCs w:val="22"/>
        </w:rPr>
        <w:t>decision, Chairman Hoecker explained that his reservation over introducing the NCD service in FPC’s service territory lay not in the merits of the reservation-based service, but rather in the fact that it risked introducing potential inconsistencies in service offerings.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1440" w:end="1440"/>
        <w:jc w:val="both"/>
        <w:rPr/>
      </w:pPr>
      <w:r>
        <w:rPr>
          <w:rFonts w:eastAsia="Times New Roman" w:cs="Times New Roman" w:ascii="Times New Roman" w:hAnsi="Times New Roman"/>
          <w:color w:val="000000"/>
          <w:sz w:val="22"/>
          <w:szCs w:val="22"/>
        </w:rPr>
        <w:t xml:space="preserve">In my view, tariff innovations like FPC’s can be constructive.  Nevertheless, the most important future gains in efficiency and non-discriminatory access for the benefit of customers lie not in tweaking tariff provisions on a utility-specific basis, but instead in establishing mechanisms that expand the wholesale market and give customers better choices and more efficient transmission prices </w:t>
      </w:r>
      <w:r>
        <w:rPr>
          <w:rFonts w:eastAsia="Times New Roman" w:cs="Times New Roman" w:ascii="Times New Roman" w:hAnsi="Times New Roman"/>
          <w:i/>
          <w:iCs/>
          <w:color w:val="000000"/>
          <w:sz w:val="22"/>
          <w:szCs w:val="22"/>
        </w:rPr>
        <w:t>across entire regions. . . . A regional approach . . . would be more useful in the quest for real competitive solutions.</w:t>
      </w:r>
      <w:r>
        <w:rPr>
          <w:rFonts w:eastAsia="Times New Roman" w:cs="Times New Roman" w:ascii="Times New Roman" w:hAnsi="Times New Roman"/>
          <w:color w:val="000000"/>
          <w:sz w:val="22"/>
          <w:szCs w:val="22"/>
        </w:rPr>
        <w:t xml:space="preserve">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pPr>
      <w:r>
        <w:rPr>
          <w:rFonts w:eastAsia="Times New Roman" w:cs="Times New Roman" w:ascii="Times New Roman" w:hAnsi="Times New Roman"/>
          <w:i/>
          <w:iCs/>
          <w:color w:val="000000"/>
          <w:sz w:val="22"/>
          <w:szCs w:val="22"/>
        </w:rPr>
        <w:t>Florida Power Corp.</w:t>
      </w:r>
      <w:r>
        <w:rPr>
          <w:rFonts w:eastAsia="Times New Roman" w:cs="Times New Roman" w:ascii="Times New Roman" w:hAnsi="Times New Roman"/>
          <w:color w:val="000000"/>
          <w:sz w:val="22"/>
          <w:szCs w:val="22"/>
        </w:rPr>
        <w:t>, 81 F.E.R.C. at 62,068-69 (emphasis added) (Hoecker, Chr., concurring).  Petitioners share this commitment to regional solutions.</w:t>
      </w:r>
    </w:p>
  </w:footnote>
  <w:footnote w:id="2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Numerous examples of poor OASIS performance were brought to the Commission staff’s attention during the July 18, 1997, technical conference on the performance of OASIS.  Following the conference, specific representative examples of inaccurate ATC postings were provided to and verified by the Commission’s Enforcement Task Force, although we are not aware of any enforcement action taken against the offending transmission providers.  These representative examples, together with many other OASIS problems are recounted in App. D.</w:t>
      </w:r>
    </w:p>
  </w:footnote>
  <w:footnote w:id="2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 xml:space="preserve">See </w:t>
      </w:r>
      <w:r>
        <w:rPr>
          <w:rFonts w:eastAsia="Times New Roman" w:cs="Times New Roman" w:ascii="Times New Roman" w:hAnsi="Times New Roman"/>
          <w:color w:val="000000"/>
          <w:sz w:val="22"/>
          <w:szCs w:val="22"/>
        </w:rPr>
        <w:t>10/31/97 Working Groups Report on OASIS at 38-40 (noting that “providers tend to think of ATC as more of an index of availability, rather than an absolute number” and that “[a]ggregation of ATC on a monthly or yearly basis . . . on OASIS may hide the true profile of available capacity during the period, since the posting is usually the minimum for the period”).</w:t>
      </w:r>
    </w:p>
  </w:footnote>
  <w:footnote w:id="28">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See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Order No. 888</w:t>
      </w:r>
      <w:r>
        <w:rPr>
          <w:rFonts w:eastAsia="Times New Roman" w:cs="Times New Roman" w:ascii="Times New Roman" w:hAnsi="Times New Roman"/>
          <w:color w:val="000000"/>
          <w:sz w:val="22"/>
          <w:szCs w:val="22"/>
        </w:rPr>
        <w:t xml:space="preserve">, [1991-96 Regs. Preambles] F.E.R.C. Stats. &amp; Regs. at 31,700-01 (“In the case of a public utility buying or selling at wholesale, the public utility must take service under the same tariff under which other wholesale sellers and buyers take service.”); </w:t>
      </w:r>
      <w:r>
        <w:rPr>
          <w:rFonts w:eastAsia="Times New Roman" w:cs="Times New Roman" w:ascii="Times New Roman" w:hAnsi="Times New Roman"/>
          <w:i/>
          <w:iCs/>
          <w:color w:val="000000"/>
          <w:sz w:val="22"/>
          <w:szCs w:val="22"/>
        </w:rPr>
        <w:t>id.</w:t>
      </w:r>
      <w:r>
        <w:rPr>
          <w:rFonts w:eastAsia="Times New Roman" w:cs="Times New Roman" w:ascii="Times New Roman" w:hAnsi="Times New Roman"/>
          <w:color w:val="000000"/>
          <w:sz w:val="22"/>
          <w:szCs w:val="22"/>
        </w:rPr>
        <w:t xml:space="preserve"> at 31,722 (“[A]mong the things required by functional unbundling is that the utility, when buying or selling power, rely upon the same electronic network that its transmission customers rely upon to obtain transmission information.”); </w:t>
      </w:r>
      <w:r>
        <w:rPr>
          <w:rFonts w:eastAsia="Times New Roman" w:cs="Times New Roman" w:ascii="Times New Roman" w:hAnsi="Times New Roman"/>
          <w:i/>
          <w:iCs/>
          <w:color w:val="000000"/>
          <w:sz w:val="22"/>
          <w:szCs w:val="22"/>
        </w:rPr>
        <w:t>Order No. 889</w:t>
      </w:r>
      <w:r>
        <w:rPr>
          <w:rFonts w:eastAsia="Times New Roman" w:cs="Times New Roman" w:ascii="Times New Roman" w:hAnsi="Times New Roman"/>
          <w:color w:val="000000"/>
          <w:sz w:val="22"/>
          <w:szCs w:val="22"/>
        </w:rPr>
        <w:t xml:space="preserve">, [1991-96 Regs. Preambles] F.E.R.C. Stats. &amp; Regs. at 31,610 (“Section 37.6(e) [of the open access regulations] requires that all requests by customers for transmission service that the Transmission Provider offers under the </w:t>
      </w:r>
      <w:r>
        <w:rPr>
          <w:rFonts w:eastAsia="Times New Roman" w:cs="Times New Roman" w:ascii="Times New Roman" w:hAnsi="Times New Roman"/>
          <w:i/>
          <w:iCs/>
          <w:color w:val="000000"/>
          <w:sz w:val="22"/>
          <w:szCs w:val="22"/>
        </w:rPr>
        <w:t>pro forma</w:t>
      </w:r>
      <w:r>
        <w:rPr>
          <w:rFonts w:eastAsia="Times New Roman" w:cs="Times New Roman" w:ascii="Times New Roman" w:hAnsi="Times New Roman"/>
          <w:color w:val="000000"/>
          <w:sz w:val="22"/>
          <w:szCs w:val="22"/>
        </w:rPr>
        <w:t xml:space="preserve"> tariff must be made on the OASIS.”); Order No. 889-A, III F.E.R.C. Stats. &amp; Regs. at 30,567 (“All transactions for transmission service, agreed  to between a Transmission Provider and a customer, regardless of whether they involve a discount or not, must be posted at the time ATC must be adjusted in response to the transaction.”); </w:t>
      </w:r>
      <w:r>
        <w:rPr>
          <w:rFonts w:eastAsia="Times New Roman" w:cs="Times New Roman" w:ascii="Times New Roman" w:hAnsi="Times New Roman"/>
          <w:i/>
          <w:iCs/>
          <w:color w:val="000000"/>
          <w:sz w:val="22"/>
          <w:szCs w:val="22"/>
        </w:rPr>
        <w:t>see also Pro Forma</w:t>
      </w:r>
      <w:r>
        <w:rPr>
          <w:rFonts w:eastAsia="Times New Roman" w:cs="Times New Roman" w:ascii="Times New Roman" w:hAnsi="Times New Roman"/>
          <w:color w:val="000000"/>
          <w:sz w:val="22"/>
          <w:szCs w:val="22"/>
        </w:rPr>
        <w:t xml:space="preserve"> Tariff § 1.11 (defining “Eligible Customer” as “including the Transmission Provider”).</w:t>
      </w:r>
    </w:p>
  </w:footnote>
  <w:footnote w:id="2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A number of examples of inaccurate ATC postings and shoddy maintenance of ATC information are recounted in App. D. </w:t>
      </w:r>
    </w:p>
  </w:footnote>
  <w:footnote w:id="3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We urge the Commission to look skeptically at proposals to promulgate new rules and regulations either to permit or require interactive scheduling and pricing/discounting on the OASIS.  If there is demand for such services on-line, OASIS or other vendors will meet the need.</w:t>
      </w:r>
    </w:p>
  </w:footnote>
  <w:footnote w:id="3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In order to make OASIS work, the Commission also needs to re-evaluate the information system in the context of operational unbundling of transmission systems and consolidation of transmission providers and control areas.  Responsibility for operating an OASIS node should be transferred to the regional entity charged with operating the transmission system.  The latter should be tasked with maintaining complete, accurate and timely information on ATC and price, as well as a prompt and user-friendly method for confirming reservations.</w:t>
      </w:r>
    </w:p>
  </w:footnote>
  <w:footnote w:id="3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Section 1.11 of the </w:t>
      </w:r>
      <w:r>
        <w:rPr>
          <w:rFonts w:eastAsia="Times New Roman" w:cs="Times New Roman" w:ascii="Times New Roman" w:hAnsi="Times New Roman"/>
          <w:i/>
          <w:iCs/>
          <w:color w:val="000000"/>
          <w:sz w:val="22"/>
          <w:szCs w:val="22"/>
        </w:rPr>
        <w:t xml:space="preserve">pro forma </w:t>
      </w:r>
      <w:r>
        <w:rPr>
          <w:rFonts w:eastAsia="Times New Roman" w:cs="Times New Roman" w:ascii="Times New Roman" w:hAnsi="Times New Roman"/>
          <w:color w:val="000000"/>
          <w:sz w:val="22"/>
          <w:szCs w:val="22"/>
        </w:rPr>
        <w:t xml:space="preserve">tariff and 18 C.F.R. §  37.6 (1997) direct transmission operators to post on OASIS point-to-point transactions entered into on behalf of wholesale native load (or for both wholesale and retail native load).  The OASIS posting requirements for network integration service and for transmission for retail captive load, on the other hand, are less clear.  As noted earlier, the Commission determined in Order No. 889-A that it has no jurisdiction to impose the tariff or functional unbundling because “[w]hen a utility purchases power for its retail native load customers, this is not a sale for resale.  In contrast, when a utility purchases power for its wholesale native load, the transmission of purchased power to the wholesale customer is really part of a transaction that includes a wholesale sale to a third party.”  </w:t>
      </w:r>
      <w:r>
        <w:rPr>
          <w:rFonts w:eastAsia="Times New Roman" w:cs="Times New Roman" w:ascii="Times New Roman" w:hAnsi="Times New Roman"/>
          <w:i/>
          <w:iCs/>
          <w:color w:val="000000"/>
          <w:sz w:val="22"/>
          <w:szCs w:val="22"/>
        </w:rPr>
        <w:t>Order No. 889-A,</w:t>
      </w:r>
      <w:r>
        <w:rPr>
          <w:rFonts w:eastAsia="Times New Roman" w:cs="Times New Roman" w:ascii="Times New Roman" w:hAnsi="Times New Roman"/>
          <w:color w:val="000000"/>
          <w:sz w:val="22"/>
          <w:szCs w:val="22"/>
        </w:rPr>
        <w:t xml:space="preserve"> III F.E.R.C. Stats. &amp; Regs. at 30,552.  Nowhere, however, does the Commission expressly explain whether transmission operators must post on OASIS transactions for transmission to captive load.</w:t>
      </w:r>
    </w:p>
  </w:footnote>
  <w:footnote w:id="3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By “TransCo,” we mean an independent, regulated, company charged with operating a regional transmission system. Broader than an ISO, it is a privately held, performance-regulated enterprise, with responsibility for transmission investment as well as operation. The TransCo concept is employed in the United Kingdom and we list it here for inclusiveness to indicate it as a plausible variation on the conventional notion of an ISO. Throughout this document, whenever we refer to the concept of a regional operating entity or ISO, by definition we mean the concept of an operator in the broader sense, which would include a TransCo as well</w:t>
      </w:r>
      <w:r>
        <w:rPr>
          <w:rFonts w:eastAsia="Times New Roman" w:cs="Times New Roman" w:ascii="Times New Roman" w:hAnsi="Times New Roman"/>
          <w:color w:val="000000"/>
          <w:sz w:val="22"/>
          <w:szCs w:val="22"/>
        </w:rPr>
        <w:t>.</w:t>
      </w:r>
    </w:p>
  </w:footnote>
  <w:footnote w:id="34">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Style w:val="FootnoteSymbol"/>
        </w:rPr>
        <w:footnoteRef/>
      </w:r>
      <w:r>
        <w:rPr>
          <w:rFonts w:eastAsia="Times New Roman" w:cs="Times New Roman" w:ascii="Times New Roman" w:hAnsi="Times New Roman"/>
          <w:color w:val="000000"/>
          <w:sz w:val="22"/>
          <w:szCs w:val="22"/>
        </w:rPr>
        <w:t xml:space="preserve">Illustrative is the Mid-Continent Area Power Pool (“MAPP”).  It operates the OASIS node for the MAPP utilities and makes ATC determinations based on information provided to it by the member utilities.  MAPP also directs curtailments and other interruptions to manage line loading.  At the same time, however, MAPP does not take responsibility for the accuracy of reported ATCs and has absolutely no ability to change the dispatch of resources to manage line loading without interrupting entire transactions, which it regularly does.  We are informed by the MAPP operator that the average efficiency of this form of managing line loading through curtailing transactions can be as low as approximately 10 percent -- that is, for every 10 units of a curtailed transaction only 1 unit of line-loading relief is achieved.  Similarly, at a recent Southwest Power Pool ISO technical conference it was recognized that many transactions were being curtailed that could have been reliably maintained at lesser cost through generation redispatch. </w:t>
      </w:r>
    </w:p>
  </w:footnote>
  <w:footnote w:id="3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A system operator can more efficiently assure reliability by contracting with generators for redispatch, purchasing call contracts on generation that allow for redispatch, or contracting for load shaving by customers.</w:t>
      </w:r>
    </w:p>
  </w:footnote>
  <w:footnote w:id="3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E.g., CINergy Services, Inc.,</w:t>
      </w:r>
      <w:r>
        <w:rPr>
          <w:rFonts w:eastAsia="Times New Roman" w:cs="Times New Roman" w:ascii="Times New Roman" w:hAnsi="Times New Roman"/>
          <w:color w:val="000000"/>
          <w:sz w:val="22"/>
          <w:szCs w:val="22"/>
        </w:rPr>
        <w:t xml:space="preserve"> Docket No.  ER94-1637; </w:t>
      </w:r>
      <w:r>
        <w:rPr>
          <w:rFonts w:eastAsia="Times New Roman" w:cs="Times New Roman" w:ascii="Times New Roman" w:hAnsi="Times New Roman"/>
          <w:i/>
          <w:iCs/>
          <w:color w:val="000000"/>
          <w:sz w:val="22"/>
          <w:szCs w:val="22"/>
        </w:rPr>
        <w:t xml:space="preserve">MidAmerican Energy Co., </w:t>
      </w:r>
      <w:r>
        <w:rPr>
          <w:rFonts w:eastAsia="Times New Roman" w:cs="Times New Roman" w:ascii="Times New Roman" w:hAnsi="Times New Roman"/>
          <w:color w:val="000000"/>
          <w:sz w:val="22"/>
          <w:szCs w:val="22"/>
        </w:rPr>
        <w:t xml:space="preserve">Docket No. ER95-188; </w:t>
      </w:r>
      <w:r>
        <w:rPr>
          <w:rFonts w:eastAsia="Times New Roman" w:cs="Times New Roman" w:ascii="Times New Roman" w:hAnsi="Times New Roman"/>
          <w:i/>
          <w:iCs/>
          <w:color w:val="000000"/>
          <w:sz w:val="22"/>
          <w:szCs w:val="22"/>
        </w:rPr>
        <w:t xml:space="preserve">Entergy Services, Inc., </w:t>
      </w:r>
      <w:r>
        <w:rPr>
          <w:rFonts w:eastAsia="Times New Roman" w:cs="Times New Roman" w:ascii="Times New Roman" w:hAnsi="Times New Roman"/>
          <w:color w:val="000000"/>
          <w:sz w:val="22"/>
          <w:szCs w:val="22"/>
        </w:rPr>
        <w:t>Docket No. ER95-112.</w:t>
      </w:r>
    </w:p>
  </w:footnote>
  <w:footnote w:id="3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Batch scheduling in this flexible fashion would be facilitated by a unitary reservation-based transmission service, as advocated </w:t>
      </w:r>
      <w:r>
        <w:rPr>
          <w:rFonts w:eastAsia="Times New Roman" w:cs="Times New Roman" w:ascii="Times New Roman" w:hAnsi="Times New Roman"/>
          <w:i/>
          <w:iCs/>
          <w:color w:val="000000"/>
          <w:sz w:val="22"/>
          <w:szCs w:val="22"/>
        </w:rPr>
        <w:t xml:space="preserve">supra </w:t>
      </w:r>
      <w:r>
        <w:rPr>
          <w:rFonts w:eastAsia="Times New Roman" w:cs="Times New Roman" w:ascii="Times New Roman" w:hAnsi="Times New Roman"/>
          <w:color w:val="000000"/>
          <w:sz w:val="22"/>
          <w:szCs w:val="22"/>
        </w:rPr>
        <w:t>Part III.A.  As part of the scheduling of batched transactions, the transmission customer would simply be required to demonstrate to the transmission system operation that it held sufficient reservations across the interfaces separating the receipt and delivery points of the batched transactions.</w:t>
      </w:r>
    </w:p>
  </w:footnote>
  <w:footnote w:id="38">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Style w:val="FootnoteSymbol"/>
        </w:rPr>
        <w:footnoteRef/>
      </w:r>
      <w:r>
        <w:rPr>
          <w:rFonts w:eastAsia="Times New Roman" w:cs="Times New Roman" w:ascii="Times New Roman" w:hAnsi="Times New Roman"/>
          <w:color w:val="000000"/>
          <w:sz w:val="22"/>
          <w:szCs w:val="22"/>
        </w:rPr>
        <w:t>It may be advisable for the Commission to undertake this initiative in connection with the recently filed Petition of State Public Utility and Public Service Commissions for Technical Conference or Regional  Hearing in Docket No. PL98-5.  Among the issues that the State authorities have asked the Commission to investigate with them are the elimination of “[i]nappropriate borders between or among highly interconnected ISOs and/or transmission entities . . . .”  Petitioners support the States’ request and urge the Commission to act promptly on their call for either a technical conference or regional hearings.</w:t>
      </w:r>
    </w:p>
  </w:footnote>
  <w:footnote w:id="3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The tagging procedures recently developed by NERC and its utility members are discussed further in Part V, </w:t>
      </w:r>
      <w:r>
        <w:rPr>
          <w:rFonts w:eastAsia="Times New Roman" w:cs="Times New Roman" w:ascii="Times New Roman" w:hAnsi="Times New Roman"/>
          <w:i/>
          <w:iCs/>
          <w:color w:val="000000"/>
          <w:sz w:val="22"/>
          <w:szCs w:val="22"/>
        </w:rPr>
        <w:t>infra.</w:t>
      </w:r>
    </w:p>
  </w:footnote>
  <w:footnote w:id="4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These rules can be coordinated with the efforts of the NERC in developing “recommendations and a timetable for implementing formal, coordinated regional and interregional security processes.”  </w:t>
      </w:r>
      <w:r>
        <w:rPr>
          <w:rFonts w:eastAsia="Times New Roman" w:cs="Times New Roman" w:ascii="Times New Roman" w:hAnsi="Times New Roman"/>
          <w:i/>
          <w:iCs/>
          <w:color w:val="000000"/>
          <w:sz w:val="22"/>
          <w:szCs w:val="22"/>
        </w:rPr>
        <w:t xml:space="preserve">See </w:t>
      </w:r>
      <w:r>
        <w:rPr>
          <w:rFonts w:eastAsia="Times New Roman" w:cs="Times New Roman" w:ascii="Times New Roman" w:hAnsi="Times New Roman"/>
          <w:color w:val="000000"/>
          <w:sz w:val="22"/>
          <w:szCs w:val="22"/>
        </w:rPr>
        <w:t xml:space="preserve"> NERC, </w:t>
      </w:r>
      <w:r>
        <w:rPr>
          <w:rFonts w:eastAsia="Times New Roman" w:cs="Times New Roman" w:ascii="Times New Roman" w:hAnsi="Times New Roman"/>
          <w:i/>
          <w:iCs/>
          <w:color w:val="000000"/>
          <w:sz w:val="22"/>
          <w:szCs w:val="22"/>
        </w:rPr>
        <w:t>Reliability Assessment 1996-2005</w:t>
      </w:r>
      <w:r>
        <w:rPr>
          <w:rFonts w:eastAsia="Times New Roman" w:cs="Times New Roman" w:ascii="Times New Roman" w:hAnsi="Times New Roman"/>
          <w:color w:val="000000"/>
          <w:sz w:val="22"/>
          <w:szCs w:val="22"/>
        </w:rPr>
        <w:t>, p.5 (Oct. 1996).</w:t>
      </w:r>
    </w:p>
  </w:footnote>
  <w:footnote w:id="4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It is the penultimate trader in the chain that is responsible for tagging under Policy 3.  Often this is a utility-affiliated marketer.  It has been the experience of many of us that, while the transmission provider may insist on tagging, the affiliated marketer will refuse to comply, and the party selling to the affiliated marketer must assume the burden of tagging or forego a transaction.  These experiences underscore the confusion and inconsistency that results when extra-tariff, non-Commission-approved terms and conditions are imposed on transmission access.</w:t>
      </w:r>
    </w:p>
  </w:footnote>
  <w:footnote w:id="4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10/31/97 Working Groups Report on OASIS at 39 [hereinafter cited as </w:t>
      </w:r>
      <w:r>
        <w:rPr>
          <w:rFonts w:eastAsia="Times New Roman" w:cs="Times New Roman" w:ascii="Times New Roman" w:hAnsi="Times New Roman"/>
          <w:i/>
          <w:iCs/>
          <w:color w:val="000000"/>
          <w:sz w:val="22"/>
          <w:szCs w:val="22"/>
        </w:rPr>
        <w:t>10/31/97 WGR on OASIS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see also</w:t>
      </w:r>
      <w:r>
        <w:rPr>
          <w:rFonts w:eastAsia="Times New Roman" w:cs="Times New Roman" w:ascii="Times New Roman" w:hAnsi="Times New Roman"/>
          <w:color w:val="000000"/>
          <w:sz w:val="22"/>
          <w:szCs w:val="22"/>
        </w:rPr>
        <w:t xml:space="preserve"> NERC, </w:t>
      </w:r>
      <w:r>
        <w:rPr>
          <w:rFonts w:eastAsia="Times New Roman" w:cs="Times New Roman" w:ascii="Times New Roman" w:hAnsi="Times New Roman"/>
          <w:i/>
          <w:iCs/>
          <w:color w:val="000000"/>
          <w:sz w:val="22"/>
          <w:szCs w:val="22"/>
        </w:rPr>
        <w:t>Available Transfer Capability Definitions and Determination</w:t>
      </w:r>
      <w:r>
        <w:rPr>
          <w:rFonts w:eastAsia="Times New Roman" w:cs="Times New Roman" w:ascii="Times New Roman" w:hAnsi="Times New Roman"/>
          <w:color w:val="000000"/>
          <w:sz w:val="22"/>
          <w:szCs w:val="22"/>
        </w:rPr>
        <w:t xml:space="preserve"> 28 (June 1996) (“To . . . properly appraise the performance of tightly interconnected networks to support contemplated transfer (i.e., what is the ATC), a regional or wide-area approach must be considered so that all network conditions are properly taken into account.”), </w:t>
      </w:r>
      <w:r>
        <w:rPr>
          <w:rFonts w:eastAsia="Times New Roman" w:cs="Times New Roman" w:ascii="Times New Roman" w:hAnsi="Times New Roman"/>
          <w:i/>
          <w:iCs/>
          <w:color w:val="000000"/>
          <w:sz w:val="22"/>
          <w:szCs w:val="22"/>
        </w:rPr>
        <w:t>available at</w:t>
      </w:r>
      <w:r>
        <w:rPr>
          <w:rFonts w:eastAsia="Times New Roman" w:cs="Times New Roman" w:ascii="Times New Roman" w:hAnsi="Times New Roman"/>
          <w:color w:val="000000"/>
          <w:sz w:val="22"/>
          <w:szCs w:val="22"/>
        </w:rPr>
        <w:t xml:space="preserve"> www.nerc.com.</w:t>
      </w:r>
    </w:p>
  </w:footnote>
  <w:footnote w:id="4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The independent ATC monitor would be appointed by the Commission and be responsible for reporting ATC evaluations to the Commission on a regular basis. Such an entity or entities could come ostensibly from one of several sources: (1) an existing national organization or subgroup of a national organization, properly structured so as to prevent market sector dominance; (2) an independent ATC monitoring Board, not affiliated with any current entity; or (3) representatives from Commission-sanctioned regional system operating entities.</w:t>
      </w:r>
    </w:p>
  </w:footnote>
  <w:footnote w:id="44">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2"/>
          <w:szCs w:val="22"/>
        </w:rPr>
        <w:t>See, e.g.,</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10/31/97 WGR on OASIS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supra</w:t>
      </w:r>
      <w:r>
        <w:rPr>
          <w:rFonts w:eastAsia="Times New Roman" w:cs="Times New Roman" w:ascii="Times New Roman" w:hAnsi="Times New Roman"/>
          <w:color w:val="000000"/>
          <w:sz w:val="22"/>
          <w:szCs w:val="22"/>
        </w:rPr>
        <w:t xml:space="preserve"> note 39 at 27-28.</w:t>
      </w:r>
    </w:p>
  </w:footnote>
  <w:footnote w:id="4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Posting of opportunity costs is indicated by the Commission’s directive that recovery of redispatch costs requires that the transmission providers develop and make available to all customers a “redispatch protocol” together with all information necessary “to calculate redispatch costs.”  Order No. 888, [1991-96 Regs. Preambles] F.E.R.C. at 31,740.  Order No. 888 only required that opportunity costs be ascertainable for audit.  On reconsideration, we urge the Commission to require that opportunity costs be posted in advance.</w:t>
      </w:r>
    </w:p>
  </w:footnote>
  <w:footnote w:id="4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We are not arguing that network service should be inferior to long-term point-to-point.  As the Commission has recognized, network customers incur some financial risks that point-to-point customers do not, as network customers must pay a load ratio share of any costs of the transmission system that the owner does not recover by selling point-to-point service.  However, it serves the general interest of network customers to expand the market for point-to-point transmission; if the point-to-point market is active, long-term point-to-point customers who are charged on a 12-CP basis will tend to pay their full aggregate share of system costs over time.  Accordingly, network and point-to-point customers share an interest in providing comparable and effective access for point-to-point customers.</w:t>
      </w:r>
    </w:p>
  </w:footnote>
  <w:footnote w:id="4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Where a transmission provider has formula rates, the transmission provider has no incentive to sell nonfirm transmission service because any revenue received is returned to firm customers under formula rates.</w:t>
      </w:r>
    </w:p>
  </w:footnote>
  <w:footnote w:id="48">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For example, if the receipt point under a firm agreement on a second system were at the interface between two systems and the customer merely changes the generator on the first system, even though the receipt point remains the same, some transmission providers deem this to be a change in the receipt point.  For firm service, this would place the transaction at the lowest nonfirm priority.  For nonfirm service, a new reservation would be required. </w:t>
      </w:r>
    </w:p>
  </w:footnote>
  <w:footnote w:id="4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 xml:space="preserve">This results in some utilities receiving a windfall.  For example, if a transmission provider’s loss percentage is 3.1% and a customer is transmitting 100 MW/h, some providers would have the customer provide 4 MW of losses for every hour.  The difference in calculation for a 24-hour period is 21.6 megawatts.  </w:t>
      </w:r>
    </w:p>
  </w:footnote>
  <w:footnote w:id="5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2"/>
          <w:szCs w:val="22"/>
        </w:rPr>
        <w:t>See App. D, B.4 for one such example.</w:t>
      </w:r>
    </w:p>
  </w:footnote>
  <w:footnote w:id="5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2"/>
          <w:szCs w:val="22"/>
        </w:rPr>
        <w:t xml:space="preserve">As two working groups recently noted in a report to FERC, the existing “audit” function on OASIS simply makes a list of all the times any posted value changes on a node. “This . . . places the entire burden on the customer to find the information needed for audit purposes. Imagine going to your bank to see if a deposit you made was for the correct amount and having the bank give you a microfiche of all the bank’s transactions for the last six months.” Commercial Practices Working Group and OASIS How Working Group, Industry Report to the Federal Energy Regulatory Commission on the Future of OASIS 52 (filed Oct. 31, 1997) [hereinafter cited as </w:t>
      </w:r>
      <w:r>
        <w:rPr>
          <w:rFonts w:eastAsia="Times New Roman" w:cs="Times New Roman" w:ascii="Times New Roman" w:hAnsi="Times New Roman"/>
          <w:i/>
          <w:iCs/>
          <w:color w:val="000000"/>
          <w:sz w:val="22"/>
          <w:szCs w:val="22"/>
        </w:rPr>
        <w:t>10/31/97 WGR on OASIS</w:t>
      </w:r>
      <w:r>
        <w:rPr>
          <w:rFonts w:eastAsia="Times New Roman" w:cs="Times New Roman" w:ascii="Times New Roman" w:hAnsi="Times New Roman"/>
          <w:color w:val="000000"/>
          <w:sz w:val="22"/>
          <w:szCs w:val="22"/>
        </w:rPr>
        <w:t>].</w:t>
      </w:r>
    </w:p>
  </w:footnote>
  <w:footnote w:id="5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2"/>
          <w:szCs w:val="22"/>
        </w:rPr>
        <w:t>See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10/31/97 WGR on OASIS</w:t>
      </w:r>
      <w:r>
        <w:rPr>
          <w:rFonts w:eastAsia="Times New Roman" w:cs="Times New Roman" w:ascii="Times New Roman" w:hAnsi="Times New Roman"/>
          <w:color w:val="000000"/>
          <w:sz w:val="22"/>
          <w:szCs w:val="22"/>
        </w:rPr>
        <w:t xml:space="preserve"> at 38-40 (noting that “providers tend to think of ATC as more of an index of availability, rather than an absolute number” and that “[a]ggregation of ATC on a monthly or yearly basis . . . on OASIS may hide the true profile of available capacity during the period, since the posting is usually the minimum for the period”).</w:t>
      </w:r>
    </w:p>
  </w:footnote>
  <w:footnote w:id="53">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There has been a proliferation of over 300 transmission product names on OASIS, but it is difficult to tell if this is just 40 different [</w:t>
      </w:r>
      <w:r>
        <w:rPr>
          <w:rFonts w:eastAsia="Times New Roman" w:cs="Times New Roman" w:ascii="Times New Roman" w:hAnsi="Times New Roman"/>
          <w:i/>
          <w:iCs/>
          <w:color w:val="000000"/>
          <w:sz w:val="22"/>
          <w:szCs w:val="22"/>
        </w:rPr>
        <w:t>pro forma</w:t>
      </w:r>
      <w:r>
        <w:rPr>
          <w:rFonts w:eastAsia="Times New Roman" w:cs="Times New Roman" w:ascii="Times New Roman" w:hAnsi="Times New Roman"/>
          <w:color w:val="000000"/>
          <w:sz w:val="22"/>
          <w:szCs w:val="22"/>
        </w:rPr>
        <w:t xml:space="preserve"> tariff] products with 300 different names or if the products really do vary.” </w:t>
      </w:r>
      <w:r>
        <w:rPr>
          <w:rFonts w:eastAsia="Times New Roman" w:cs="Times New Roman" w:ascii="Times New Roman" w:hAnsi="Times New Roman"/>
          <w:i/>
          <w:iCs/>
          <w:color w:val="000000"/>
          <w:sz w:val="22"/>
          <w:szCs w:val="22"/>
        </w:rPr>
        <w:t>Id</w:t>
      </w:r>
      <w:r>
        <w:rPr>
          <w:rFonts w:eastAsia="Times New Roman" w:cs="Times New Roman" w:ascii="Times New Roman" w:hAnsi="Times New Roman"/>
          <w:color w:val="000000"/>
          <w:sz w:val="22"/>
          <w:szCs w:val="22"/>
        </w:rPr>
        <w:t>. at 11.</w:t>
      </w:r>
    </w:p>
  </w:footnote>
  <w:footnote w:id="54">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2"/>
          <w:szCs w:val="22"/>
        </w:rPr>
        <w:t>See, e.g.</w:t>
      </w:r>
      <w:r>
        <w:rPr>
          <w:rFonts w:eastAsia="Times New Roman" w:cs="Times New Roman" w:ascii="Times New Roman" w:hAnsi="Times New Roman"/>
          <w:color w:val="000000"/>
          <w:sz w:val="22"/>
          <w:szCs w:val="22"/>
        </w:rPr>
        <w:t xml:space="preserve">, Bethany McLean, </w:t>
      </w:r>
      <w:r>
        <w:rPr>
          <w:rFonts w:eastAsia="Times New Roman" w:cs="Times New Roman" w:ascii="Times New Roman" w:hAnsi="Times New Roman"/>
          <w:i/>
          <w:iCs/>
          <w:color w:val="000000"/>
          <w:sz w:val="22"/>
          <w:szCs w:val="22"/>
        </w:rPr>
        <w:t>Need Electricity? Call Your Broker</w:t>
      </w:r>
      <w:r>
        <w:rPr>
          <w:rFonts w:eastAsia="Times New Roman" w:cs="Times New Roman" w:ascii="Times New Roman" w:hAnsi="Times New Roman"/>
          <w:color w:val="000000"/>
          <w:sz w:val="22"/>
          <w:szCs w:val="22"/>
        </w:rPr>
        <w:t>, Fortune, Sept. 29, 1997, at 153, 153 (citing interview with a managing director of Goldman Sachs &amp; Co.).</w:t>
      </w:r>
    </w:p>
  </w:footnote>
  <w:footnote w:id="55">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Uniform System of Accounts Prescribed for Pub. Utils. and Licensees Subject to the Provisions of the FPA,</w:t>
      </w:r>
      <w:r>
        <w:rPr>
          <w:rFonts w:eastAsia="Times New Roman" w:cs="Times New Roman" w:ascii="Times New Roman" w:hAnsi="Times New Roman"/>
          <w:color w:val="000000"/>
          <w:sz w:val="24"/>
          <w:szCs w:val="24"/>
        </w:rPr>
        <w:t xml:space="preserve"> 18 C.F.R. PRT 101 (1994).</w:t>
      </w:r>
    </w:p>
  </w:footnote>
  <w:footnote w:id="56">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See Order No. 888-A</w:t>
      </w:r>
      <w:r>
        <w:rPr>
          <w:rFonts w:eastAsia="Times New Roman" w:cs="Times New Roman" w:ascii="Times New Roman" w:hAnsi="Times New Roman"/>
          <w:color w:val="000000"/>
          <w:sz w:val="24"/>
          <w:szCs w:val="24"/>
        </w:rPr>
        <w:t>, III F.E.R.C. Stats. &amp; Regs. at 30,345;</w:t>
      </w:r>
      <w:r>
        <w:rPr>
          <w:rFonts w:eastAsia="Times New Roman" w:cs="Times New Roman" w:ascii="Times New Roman" w:hAnsi="Times New Roman"/>
          <w:i/>
          <w:iCs/>
          <w:color w:val="000000"/>
          <w:sz w:val="24"/>
          <w:szCs w:val="24"/>
        </w:rPr>
        <w:t xml:space="preserve"> Utah v. FERC</w:t>
      </w:r>
      <w:r>
        <w:rPr>
          <w:rFonts w:eastAsia="Times New Roman" w:cs="Times New Roman" w:ascii="Times New Roman" w:hAnsi="Times New Roman"/>
          <w:color w:val="000000"/>
          <w:sz w:val="24"/>
          <w:szCs w:val="24"/>
        </w:rPr>
        <w:t xml:space="preserve">, 691 F.2d 444,446 (10th Cir. 1982); </w:t>
      </w:r>
      <w:r>
        <w:rPr>
          <w:rFonts w:eastAsia="Times New Roman" w:cs="Times New Roman" w:ascii="Times New Roman" w:hAnsi="Times New Roman"/>
          <w:i/>
          <w:iCs/>
          <w:color w:val="000000"/>
          <w:sz w:val="24"/>
          <w:szCs w:val="24"/>
        </w:rPr>
        <w:t>see also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Phillips Petroleum Co. v. Wisconsin</w:t>
      </w:r>
      <w:r>
        <w:rPr>
          <w:rFonts w:eastAsia="Times New Roman" w:cs="Times New Roman" w:ascii="Times New Roman" w:hAnsi="Times New Roman"/>
          <w:color w:val="000000"/>
          <w:sz w:val="24"/>
          <w:szCs w:val="24"/>
        </w:rPr>
        <w:t xml:space="preserve">, 347 U.S. 672, 682 (1954) (applying the principle to gas </w:t>
      </w:r>
      <w:r>
        <w:rPr>
          <w:rFonts w:eastAsia="Times New Roman" w:cs="Times New Roman" w:ascii="Times New Roman" w:hAnsi="Times New Roman"/>
          <w:color w:val="000000"/>
          <w:sz w:val="24"/>
          <w:szCs w:val="24"/>
        </w:rPr>
        <w:t>in interstate commerce).</w:t>
      </w:r>
    </w:p>
  </w:footnote>
  <w:footnote w:id="57">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See, 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FPC v. Florida Power &amp; Light Co</w:t>
      </w:r>
      <w:r>
        <w:rPr>
          <w:rFonts w:eastAsia="Times New Roman" w:cs="Times New Roman" w:ascii="Times New Roman" w:hAnsi="Times New Roman"/>
          <w:color w:val="000000"/>
          <w:sz w:val="24"/>
          <w:szCs w:val="24"/>
        </w:rPr>
        <w:t xml:space="preserve">., 404 U.S. 453, </w:t>
      </w:r>
      <w:r>
        <w:rPr>
          <w:rFonts w:eastAsia="Times New Roman" w:cs="Times New Roman" w:ascii="Times New Roman" w:hAnsi="Times New Roman"/>
          <w:i/>
          <w:iCs/>
          <w:color w:val="000000"/>
          <w:sz w:val="24"/>
          <w:szCs w:val="24"/>
        </w:rPr>
        <w:t>reh’g denied</w:t>
      </w:r>
      <w:r>
        <w:rPr>
          <w:rFonts w:eastAsia="Times New Roman" w:cs="Times New Roman" w:ascii="Times New Roman" w:hAnsi="Times New Roman"/>
          <w:color w:val="000000"/>
          <w:sz w:val="24"/>
          <w:szCs w:val="24"/>
        </w:rPr>
        <w:t xml:space="preserve">, 405 U.S. 948 (1972); </w:t>
      </w:r>
      <w:r>
        <w:rPr>
          <w:rFonts w:eastAsia="Times New Roman" w:cs="Times New Roman" w:ascii="Times New Roman" w:hAnsi="Times New Roman"/>
          <w:i/>
          <w:iCs/>
          <w:color w:val="000000"/>
          <w:sz w:val="24"/>
          <w:szCs w:val="24"/>
        </w:rPr>
        <w:t>Connecticut Light &amp; Power Co. v. FPC,</w:t>
      </w:r>
      <w:r>
        <w:rPr>
          <w:rFonts w:eastAsia="Times New Roman" w:cs="Times New Roman" w:ascii="Times New Roman" w:hAnsi="Times New Roman"/>
          <w:color w:val="000000"/>
          <w:sz w:val="24"/>
          <w:szCs w:val="24"/>
        </w:rPr>
        <w:t xml:space="preserve"> 324 U.S. 515 (1945); </w:t>
      </w:r>
      <w:r>
        <w:rPr>
          <w:rFonts w:eastAsia="Times New Roman" w:cs="Times New Roman" w:ascii="Times New Roman" w:hAnsi="Times New Roman"/>
          <w:i/>
          <w:iCs/>
          <w:color w:val="000000"/>
          <w:sz w:val="24"/>
          <w:szCs w:val="24"/>
        </w:rPr>
        <w:t>Jersey Central Power &amp; Light Co. v. FPC,</w:t>
      </w:r>
      <w:r>
        <w:rPr>
          <w:rFonts w:eastAsia="Times New Roman" w:cs="Times New Roman" w:ascii="Times New Roman" w:hAnsi="Times New Roman"/>
          <w:color w:val="000000"/>
          <w:sz w:val="24"/>
          <w:szCs w:val="24"/>
        </w:rPr>
        <w:t xml:space="preserve"> 319 U.S. 61 (1943).</w:t>
      </w:r>
    </w:p>
  </w:footnote>
  <w:footnote w:id="58">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See FPC v. Florida Power &amp; Light Co.</w:t>
      </w:r>
      <w:r>
        <w:rPr>
          <w:rFonts w:eastAsia="Times New Roman" w:cs="Times New Roman" w:ascii="Times New Roman" w:hAnsi="Times New Roman"/>
          <w:color w:val="000000"/>
          <w:sz w:val="24"/>
          <w:szCs w:val="24"/>
        </w:rPr>
        <w:t>, 404 U.S. 453, 463, 468 (1972) (“as interconnections proliferate and energy pools grow larger,” FPA Section 201 jurisdiction expands).</w:t>
      </w:r>
    </w:p>
  </w:footnote>
  <w:footnote w:id="59">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 xml:space="preserve">See also Connecticut Light &amp; Power Co. v. FPC, </w:t>
      </w:r>
      <w:r>
        <w:rPr>
          <w:rFonts w:eastAsia="Times New Roman" w:cs="Times New Roman" w:ascii="Times New Roman" w:hAnsi="Times New Roman"/>
          <w:color w:val="000000"/>
          <w:sz w:val="24"/>
          <w:szCs w:val="24"/>
        </w:rPr>
        <w:t>324 U.S. 515, 533-35 (1045) (FPA § 201 jurisdiction extends to all transmission lines not used for local distribution).  As explained below, however, local distribution lines can be reached by the Commission acting under new FPA § 211.</w:t>
      </w:r>
    </w:p>
  </w:footnote>
  <w:footnote w:id="60">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i/>
          <w:iCs/>
          <w:color w:val="000000"/>
          <w:sz w:val="24"/>
          <w:szCs w:val="24"/>
        </w:rPr>
        <w:t xml:space="preserve">Cf Pipeline Service Obligations and Revisions to Regulations Governing Self-Implementing Transportation; and Regulation of Natural Gas Pipelines after Wellhead Decontrol, </w:t>
      </w:r>
      <w:r>
        <w:rPr>
          <w:rFonts w:eastAsia="Times New Roman" w:cs="Times New Roman" w:ascii="Times New Roman" w:hAnsi="Times New Roman"/>
          <w:color w:val="000000"/>
          <w:sz w:val="24"/>
          <w:szCs w:val="24"/>
        </w:rPr>
        <w:t xml:space="preserve">Order No. 636-A, [1991-96 Regs. Preambles] III F.E.R.C. Stats. &amp; Regs. ¶ 31,950 at 30,575 (1992) (“the pipeline must include in its tariff all operational terms and conditions related to no-notice transportation service so that the Commission can review the reasonableness of those terms and conditions”); </w:t>
      </w:r>
      <w:r>
        <w:rPr>
          <w:rFonts w:eastAsia="Times New Roman" w:cs="Times New Roman" w:ascii="Times New Roman" w:hAnsi="Times New Roman"/>
          <w:i/>
          <w:iCs/>
          <w:color w:val="000000"/>
          <w:sz w:val="24"/>
          <w:szCs w:val="24"/>
        </w:rPr>
        <w:t xml:space="preserve">see also id. </w:t>
      </w:r>
      <w:r>
        <w:rPr>
          <w:rFonts w:eastAsia="Times New Roman" w:cs="Times New Roman" w:ascii="Times New Roman" w:hAnsi="Times New Roman"/>
          <w:color w:val="000000"/>
          <w:sz w:val="24"/>
          <w:szCs w:val="24"/>
        </w:rPr>
        <w:t>at 30,576 (“Of course, the pipeline must include all of its operational terms and conditions in its tariff so that the Commission can determine if they are reasonable”).</w:t>
      </w:r>
    </w:p>
  </w:footnote>
  <w:footnote w:id="61">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In </w:t>
      </w:r>
      <w:r>
        <w:rPr>
          <w:rFonts w:eastAsia="Times New Roman" w:cs="Times New Roman" w:ascii="Times New Roman" w:hAnsi="Times New Roman"/>
          <w:i/>
          <w:iCs/>
          <w:color w:val="000000"/>
          <w:sz w:val="24"/>
          <w:szCs w:val="24"/>
        </w:rPr>
        <w:t>Attleboro</w:t>
      </w:r>
      <w:r>
        <w:rPr>
          <w:rFonts w:eastAsia="Times New Roman" w:cs="Times New Roman" w:ascii="Times New Roman" w:hAnsi="Times New Roman"/>
          <w:color w:val="000000"/>
          <w:sz w:val="24"/>
          <w:szCs w:val="24"/>
        </w:rPr>
        <w:t>, the Supreme Court held that a state utility commission could not regulate the sale of electric power by a Rhode Island electric utility to an electric utility purchaser located in Massachusetts because the sale was in interstate commerce.  Inasmuch as Congress had not yet passed laws providing for regulation of interstate sales of electricity, post-</w:t>
      </w:r>
      <w:r>
        <w:rPr>
          <w:rFonts w:eastAsia="Times New Roman" w:cs="Times New Roman" w:ascii="Times New Roman" w:hAnsi="Times New Roman"/>
          <w:i/>
          <w:iCs/>
          <w:color w:val="000000"/>
          <w:sz w:val="24"/>
          <w:szCs w:val="24"/>
        </w:rPr>
        <w:t>Attleboro</w:t>
      </w:r>
      <w:r>
        <w:rPr>
          <w:rFonts w:eastAsia="Times New Roman" w:cs="Times New Roman" w:ascii="Times New Roman" w:hAnsi="Times New Roman"/>
          <w:color w:val="000000"/>
          <w:sz w:val="24"/>
          <w:szCs w:val="24"/>
        </w:rPr>
        <w:t xml:space="preserve"> electric utilities were able to transmit and sell electricity in interstate commerce free of any regulation.  Part II of the FPA was intended to fill the jurisdictional gap resulting from the </w:t>
      </w:r>
      <w:r>
        <w:rPr>
          <w:rFonts w:eastAsia="Times New Roman" w:cs="Times New Roman" w:ascii="Times New Roman" w:hAnsi="Times New Roman"/>
          <w:i/>
          <w:iCs/>
          <w:color w:val="000000"/>
          <w:sz w:val="24"/>
          <w:szCs w:val="24"/>
        </w:rPr>
        <w:t xml:space="preserve">Attleboro </w:t>
      </w:r>
      <w:r>
        <w:rPr>
          <w:rFonts w:eastAsia="Times New Roman" w:cs="Times New Roman" w:ascii="Times New Roman" w:hAnsi="Times New Roman"/>
          <w:color w:val="000000"/>
          <w:sz w:val="24"/>
          <w:szCs w:val="24"/>
        </w:rPr>
        <w:t xml:space="preserve">decision by establishing a framework for the federal regulation of the interstate transmission and wholesale sales of electricity.  </w:t>
      </w:r>
      <w:r>
        <w:rPr>
          <w:rFonts w:eastAsia="Times New Roman" w:cs="Times New Roman" w:ascii="Times New Roman" w:hAnsi="Times New Roman"/>
          <w:i/>
          <w:iCs/>
          <w:color w:val="000000"/>
          <w:sz w:val="24"/>
          <w:szCs w:val="24"/>
        </w:rPr>
        <w:t>See FPC v. Southern California Edison Co.</w:t>
      </w:r>
      <w:r>
        <w:rPr>
          <w:rFonts w:eastAsia="Times New Roman" w:cs="Times New Roman" w:ascii="Times New Roman" w:hAnsi="Times New Roman"/>
          <w:color w:val="000000"/>
          <w:sz w:val="24"/>
          <w:szCs w:val="24"/>
        </w:rPr>
        <w:t>, 376 U.S. 205, 213-15 (1964).</w:t>
      </w:r>
    </w:p>
  </w:footnote>
  <w:footnote w:id="62">
    <w:p>
      <w:pPr>
        <w:pStyle w:val="Normal"/>
        <w:bidi w:val="0"/>
        <w:spacing w:lineRule="auto" w:line="240" w:before="0" w:after="0"/>
        <w:ind w:hanging="0" w:start="0" w:end="0"/>
        <w:jc w:val="both"/>
        <w:rPr/>
      </w:pPr>
      <w:r>
        <w:rPr>
          <w:rStyle w:val="FootnoteSymbol"/>
        </w:rPr>
        <w:footnoteRef/>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2"/>
          <w:szCs w:val="22"/>
        </w:rPr>
        <w:t>Section 204(a) of the FPA empowers the Commission to authorize a security issue only if the issue is found to be for some lawful purpose and compatible with the public interest.  16 U.S.C. § 824c(a) (1988).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Rulemaking Petition</w:t>
      <w:tab/>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Docket No.  RM98-___-000</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61</w:t>
    </w:r>
    <w:r>
      <w:rPr>
        <w:sz w:val="24"/>
        <w:szCs w:val="24"/>
        <w:rFonts w:eastAsia="Times New Roman" w:cs="Times New Roman" w:ascii="Times New Roman" w:hAnsi="Times New Roman"/>
        <w:color w:val="000000"/>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D</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88</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13</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E</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92</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5</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F</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98</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Rulemaking Petition</w:t>
      <w:tab/>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Docket No.  RM98-___-000</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64</w:t>
    </w:r>
    <w:r>
      <w:rPr>
        <w:sz w:val="24"/>
        <w:szCs w:val="24"/>
        <w:rFonts w:eastAsia="Times New Roman" w:cs="Times New Roman" w:ascii="Times New Roman" w:hAnsi="Times New Roman"/>
        <w:color w:val="000000"/>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A</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66</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3</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Appendix B</w:t>
      <w:tab/>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75</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5"/>
      <w:numFmt w:val="upperLetter"/>
      <w:lvlText w:val="%2."/>
      <w:lvlJc w:val="start"/>
      <w:pPr>
        <w:tabs>
          <w:tab w:val="num" w:pos="1440"/>
        </w:tabs>
        <w:ind w:start="1440" w:hanging="720"/>
      </w:pPr>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1998-02-23T10:51:00Z</dcterms:created>
  <dc:creator>Bracewell &amp; Patterson, L.L.P.</dc:creator>
  <dc:description/>
  <dc:language>en-CA</dc:language>
  <cp:lastModifiedBy>Bracewell &amp; Patterson, L.L.P.</cp:lastModifiedBy>
  <cp:revision>0</cp:revision>
  <dc:subject/>
  <dc:title/>
</cp:coreProperties>
</file>