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66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 xml:space="preserve">Federal Energy Regulatory Commission </w:t>
      </w:r>
    </w:p>
    <w:p>
      <w:pPr>
        <w:pStyle w:val="Normal"/>
        <w:rPr>
          <w:rFonts w:ascii="Arial" w:hAnsi="Arial" w:cs="Arial"/>
        </w:rPr>
      </w:pPr>
      <w:r>
        <w:rPr>
          <w:rFonts w:cs="Arial" w:ascii="Arial" w:hAnsi="Arial"/>
        </w:rPr>
        <w:t>888 First Street, N.E.</w:t>
      </w:r>
    </w:p>
    <w:p>
      <w:pPr>
        <w:pStyle w:val="Normal"/>
        <w:rPr>
          <w:rFonts w:ascii="Arial" w:hAnsi="Arial" w:cs="Arial"/>
        </w:rPr>
      </w:pPr>
      <w:r>
        <w:rPr>
          <w:rFonts w:cs="Arial" w:ascii="Arial" w:hAnsi="Arial"/>
        </w:rPr>
        <w:t>Washington, D.C.  20426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Attention:  Mr. David P. Boergers, Secretary</w:t>
      </w:r>
    </w:p>
    <w:p>
      <w:pPr>
        <w:pStyle w:val="Normal"/>
        <w:rPr>
          <w:rFonts w:ascii="Arial" w:hAnsi="Arial" w:cs="Arial"/>
        </w:rPr>
      </w:pPr>
      <w:r>
        <w:rPr>
          <w:rFonts w:cs="Arial" w:ascii="Arial" w:hAnsi="Arial"/>
        </w:rPr>
      </w:r>
    </w:p>
    <w:p>
      <w:pPr>
        <w:pStyle w:val="Normal"/>
        <w:ind w:hanging="540" w:start="2520" w:end="0"/>
        <w:rPr>
          <w:rFonts w:ascii="Arial" w:hAnsi="Arial" w:cs="Arial"/>
        </w:rPr>
      </w:pPr>
      <w:r>
        <w:rPr>
          <w:rFonts w:cs="Arial" w:ascii="Arial" w:hAnsi="Arial"/>
        </w:rPr>
        <w:t>Re:</w:t>
        <w:tab/>
        <w:t xml:space="preserve">El Paso Natural Gas Company; </w:t>
      </w:r>
    </w:p>
    <w:p>
      <w:pPr>
        <w:pStyle w:val="Normal"/>
        <w:ind w:hanging="540" w:start="2520" w:end="0"/>
        <w:jc w:val="both"/>
        <w:rPr>
          <w:rFonts w:ascii="Arial" w:hAnsi="Arial" w:cs="Arial"/>
        </w:rPr>
      </w:pPr>
      <w:r>
        <w:rPr>
          <w:rFonts w:eastAsia="Arial" w:cs="Arial" w:ascii="Arial" w:hAnsi="Arial"/>
        </w:rPr>
        <w:t xml:space="preserve">        </w:t>
      </w:r>
      <w:r>
        <w:rPr>
          <w:rFonts w:cs="Arial" w:ascii="Arial" w:hAnsi="Arial"/>
        </w:rPr>
        <w:t>Data Requests,</w:t>
      </w:r>
    </w:p>
    <w:p>
      <w:pPr>
        <w:pStyle w:val="Heading1"/>
        <w:rPr>
          <w:sz w:val="24"/>
        </w:rPr>
      </w:pPr>
      <w:r>
        <w:rPr>
          <w:rFonts w:eastAsia="Arial"/>
          <w:sz w:val="24"/>
        </w:rPr>
        <w:t xml:space="preserve">        </w:t>
      </w:r>
      <w:r>
        <w:rPr>
          <w:sz w:val="24"/>
        </w:rPr>
        <w:t>Docket Nos. RP00-336-000, et al.</w:t>
      </w:r>
    </w:p>
    <w:p>
      <w:pPr>
        <w:pStyle w:val="Normal"/>
        <w:ind w:start="1980" w:end="0"/>
        <w:rPr>
          <w:rFonts w:ascii="Arial" w:hAnsi="Arial" w:cs="Arial"/>
          <w:sz w:val="24"/>
        </w:rPr>
      </w:pPr>
      <w:r>
        <w:rPr>
          <w:rFonts w:cs="Arial" w:ascii="Arial" w:hAnsi="Arial"/>
          <w:sz w:val="24"/>
        </w:rPr>
      </w:r>
    </w:p>
    <w:p>
      <w:pPr>
        <w:pStyle w:val="Normal"/>
        <w:rPr>
          <w:rFonts w:ascii="Arial" w:hAnsi="Arial" w:cs="Arial"/>
        </w:rPr>
      </w:pPr>
      <w:r>
        <w:rPr>
          <w:rFonts w:cs="Arial" w:ascii="Arial" w:hAnsi="Arial"/>
        </w:rPr>
        <w:t xml:space="preserve">Commissioners:  </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ab/>
        <w:t>By order dated February 26, 2001 at Docket No. RP99-507-004, et al., the Federal Energy Regulatory Commission ("Commission") directed El Paso Natural Gas Company ("EPNG") to submit a proposal in its order No. 637 proceeding that addresses system-wide capacity allocation issues on its system.  EPNG submitted its proposal on March 28, 2001.  Technical Conferences in this proceeding were held on July 17</w:t>
        <w:noBreakHyphen/>
        <w:t>18, 2001 and August 28, 2001.  Subsequently, by letter dated September 7, 2001, the Commission submitted a data request to EPNG.  EPNG tenders for filing with the Commission its responses to the data requests.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t>
        <w:tab/>
        <w:t>William H. Healy</w:t>
      </w:r>
    </w:p>
    <w:p>
      <w:pPr>
        <w:pStyle w:val="Normal"/>
        <w:tabs>
          <w:tab w:val="clear" w:pos="720"/>
          <w:tab w:val="left" w:pos="4860" w:leader="none"/>
        </w:tabs>
        <w:ind w:start="4140" w:end="0"/>
        <w:rPr>
          <w:rFonts w:ascii="Arial" w:hAnsi="Arial" w:cs="Arial"/>
        </w:rPr>
      </w:pPr>
      <w:r>
        <w:rPr>
          <w:rFonts w:cs="Arial" w:ascii="Arial" w:hAnsi="Arial"/>
        </w:rPr>
        <w:tab/>
        <w:t xml:space="preserve">    </w:t>
        <w:tab/>
        <w:t xml:space="preserve">  Vice President</w:t>
      </w:r>
    </w:p>
    <w:p>
      <w:pPr>
        <w:pStyle w:val="Normal"/>
        <w:tabs>
          <w:tab w:val="clear" w:pos="720"/>
          <w:tab w:val="left" w:pos="4860" w:leader="none"/>
        </w:tabs>
        <w:ind w:start="4140" w:end="0"/>
        <w:rPr>
          <w:rFonts w:ascii="Arial" w:hAnsi="Arial" w:cs="Arial"/>
        </w:rPr>
      </w:pPr>
      <w:r>
        <w:rPr>
          <w:rFonts w:cs="Arial" w:ascii="Arial" w:hAnsi="Arial"/>
        </w:rPr>
        <w:tab/>
        <w:t xml:space="preserve">    </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w:t>
        <w:tab/>
        <w:t>Parties of Record at Docket No. RP00-336-000, et al.</w:t>
      </w:r>
    </w:p>
    <w:p>
      <w:pPr>
        <w:pStyle w:val="Normal"/>
        <w:jc w:val="both"/>
        <w:rPr>
          <w:rFonts w:ascii="Arial" w:hAnsi="Arial" w:cs="Arial"/>
        </w:rPr>
      </w:pPr>
      <w:r>
        <w:rPr>
          <w:rFonts w:cs="Arial" w:ascii="Arial" w:hAnsi="Arial"/>
        </w:rPr>
        <w:tab/>
        <w:t>Robert Petrocelli, FERC Staff, Room 71-05</w:t>
      </w:r>
    </w:p>
    <w:p>
      <w:pPr>
        <w:pStyle w:val="Normal"/>
        <w:jc w:val="both"/>
        <w:rPr>
          <w:rFonts w:ascii="Arial" w:hAnsi="Arial" w:cs="Arial"/>
        </w:rPr>
      </w:pPr>
      <w:r>
        <w:rPr>
          <w:rFonts w:cs="Arial" w:ascii="Arial" w:hAnsi="Arial"/>
        </w:rPr>
        <w:tab/>
        <w:t>Ms. Ingrid Olson, FERC Staff, Room 102-31</w:t>
      </w:r>
    </w:p>
    <w:p>
      <w:pPr>
        <w:pStyle w:val="Normal"/>
        <w:jc w:val="both"/>
        <w:rPr>
          <w:rFonts w:ascii="Arial" w:hAnsi="Arial" w:cs="Arial"/>
        </w:rPr>
      </w:pPr>
      <w:r>
        <w:rPr>
          <w:rFonts w:cs="Arial" w:ascii="Arial" w:hAnsi="Arial"/>
        </w:rPr>
        <w:tab/>
        <w:t>(paper copies and electronic version provided)</w:t>
      </w:r>
    </w:p>
    <w:p>
      <w:pPr>
        <w:sectPr>
          <w:type w:val="nextPage"/>
          <w:pgSz w:w="12240" w:h="15840"/>
          <w:pgMar w:left="2160" w:right="1008"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Heading2"/>
        <w:ind w:hanging="0" w:end="0"/>
        <w:rPr>
          <w:rFonts w:cs="Arial"/>
          <w:szCs w:val="26"/>
        </w:rPr>
      </w:pPr>
      <w:r>
        <w:rPr>
          <w:rFonts w:cs="Arial"/>
        </w:rPr>
        <w:t>Requests of Commission Staff</w:t>
      </w:r>
    </w:p>
    <w:p>
      <w:pPr>
        <w:pStyle w:val="Normal"/>
        <w:jc w:val="center"/>
        <w:rPr>
          <w:rFonts w:ascii="Arial" w:hAnsi="Arial" w:cs="Arial"/>
        </w:rPr>
      </w:pPr>
      <w:r>
        <w:rPr>
          <w:rFonts w:cs="Arial" w:ascii="Arial" w:hAnsi="Arial"/>
        </w:rPr>
        <w:t>(September 24, 2001)</w:t>
      </w:r>
    </w:p>
    <w:p>
      <w:pPr>
        <w:pStyle w:val="Normal"/>
        <w:jc w:val="both"/>
        <w:rPr>
          <w:rFonts w:ascii="Arial" w:hAnsi="Arial" w:cs="Arial"/>
          <w:szCs w:val="26"/>
        </w:rPr>
      </w:pPr>
      <w:r>
        <w:rPr>
          <w:rFonts w:cs="Arial" w:ascii="Arial" w:hAnsi="Arial"/>
          <w:szCs w:val="26"/>
        </w:rPr>
      </w:r>
    </w:p>
    <w:p>
      <w:pPr>
        <w:pStyle w:val="Normal"/>
        <w:tabs>
          <w:tab w:val="clear" w:pos="720"/>
          <w:tab w:val="left" w:pos="-1440" w:leader="none"/>
        </w:tabs>
        <w:jc w:val="both"/>
        <w:rPr/>
      </w:pPr>
      <w:r>
        <w:rPr>
          <w:rFonts w:cs="Arial" w:ascii="Arial" w:hAnsi="Arial"/>
          <w:szCs w:val="26"/>
          <w:u w:val="single"/>
        </w:rPr>
        <w:t>Request No. 1</w:t>
      </w:r>
      <w:r>
        <w:rPr>
          <w:rFonts w:cs="Arial" w:ascii="Arial" w:hAnsi="Arial"/>
          <w:szCs w:val="26"/>
        </w:rPr>
        <w:t>:</w:t>
        <w:tab/>
        <w:t xml:space="preserve">Explain how the capacity release mechanism for full requirements (FR) customers works.  Identify where this provision can be found in El Paso's tariff or any document/agreement.  Provide information regarding any releases by FR customers during the last five calendar years.  </w:t>
      </w:r>
    </w:p>
    <w:p>
      <w:pPr>
        <w:pStyle w:val="Normal"/>
        <w:tabs>
          <w:tab w:val="clear" w:pos="720"/>
          <w:tab w:val="left" w:pos="-1440" w:leader="none"/>
        </w:tabs>
        <w:jc w:val="both"/>
        <w:rPr>
          <w:rFonts w:ascii="Arial" w:hAnsi="Arial" w:cs="Arial"/>
          <w:szCs w:val="26"/>
        </w:rPr>
      </w:pPr>
      <w:r>
        <w:rPr>
          <w:rFonts w:cs="Arial" w:ascii="Arial" w:hAnsi="Arial"/>
          <w:szCs w:val="26"/>
        </w:rPr>
      </w:r>
    </w:p>
    <w:p>
      <w:pPr>
        <w:pStyle w:val="Normal"/>
        <w:tabs>
          <w:tab w:val="clear" w:pos="720"/>
          <w:tab w:val="left" w:pos="-1440" w:leader="none"/>
        </w:tabs>
        <w:jc w:val="both"/>
        <w:rPr/>
      </w:pPr>
      <w:r>
        <w:rPr>
          <w:rFonts w:cs="Arial" w:ascii="Arial" w:hAnsi="Arial"/>
          <w:szCs w:val="26"/>
          <w:u w:val="single"/>
        </w:rPr>
        <w:t>Response No. 1</w:t>
      </w:r>
      <w:r>
        <w:rPr>
          <w:rFonts w:cs="Arial" w:ascii="Arial" w:hAnsi="Arial"/>
          <w:szCs w:val="26"/>
        </w:rPr>
        <w:t>:</w:t>
        <w:tab/>
        <w:t xml:space="preserve">A full requirements ("FR") shipper, like any other firm shipper, must comply with the requirements of Section 28 of El Paso's tariff in order to release capacity.  However, when a FR shipper releases capacity, its capacity rights are limited to its respective billing determinants underlying El Paso's currently effective rates less the quantity that has been released.  Moreover, a FR shipper must also designate the amount of its primary rights it will retain at each of its primary points during the term of the release.  These limitations only apply while capacity has been released.  The capacity release provisions applicable to FR shippers are found in Section 28.2(a) of the tariff and in a portion of the Commission's order issued October 29, 1993 at Docket No. RS92-60-016, et al.  El Paso has attached a copy of Section 28 as well as a copy of pertinent pages from the Commission's order.  Also, attached is a schedule providing capacity release information for FR shippers from January 1, 1996 through September 19, 2001. </w:t>
      </w:r>
    </w:p>
    <w:p>
      <w:pPr>
        <w:pStyle w:val="Normal"/>
        <w:tabs>
          <w:tab w:val="clear" w:pos="720"/>
          <w:tab w:val="left" w:pos="-1440" w:leader="none"/>
        </w:tabs>
        <w:jc w:val="both"/>
        <w:rPr>
          <w:rFonts w:ascii="Arial" w:hAnsi="Arial" w:cs="Arial"/>
          <w:szCs w:val="26"/>
        </w:rPr>
      </w:pPr>
      <w:r>
        <w:rPr>
          <w:rFonts w:cs="Arial" w:ascii="Arial" w:hAnsi="Arial"/>
          <w:szCs w:val="26"/>
        </w:rPr>
      </w:r>
    </w:p>
    <w:p>
      <w:pPr>
        <w:pStyle w:val="Normal"/>
        <w:tabs>
          <w:tab w:val="clear" w:pos="720"/>
          <w:tab w:val="left" w:pos="-1440" w:leader="none"/>
        </w:tabs>
        <w:jc w:val="both"/>
        <w:rPr>
          <w:rFonts w:ascii="Arial" w:hAnsi="Arial" w:cs="Arial"/>
          <w:szCs w:val="26"/>
        </w:rPr>
      </w:pPr>
      <w:r>
        <w:rPr>
          <w:rFonts w:cs="Arial" w:ascii="Arial" w:hAnsi="Arial"/>
          <w:szCs w:val="26"/>
        </w:rPr>
      </w:r>
    </w:p>
    <w:p>
      <w:pPr>
        <w:pStyle w:val="Normal"/>
        <w:tabs>
          <w:tab w:val="clear" w:pos="720"/>
          <w:tab w:val="left" w:pos="-1440" w:leader="none"/>
        </w:tabs>
        <w:jc w:val="both"/>
        <w:rPr>
          <w:rFonts w:ascii="Arial" w:hAnsi="Arial" w:cs="Arial"/>
          <w:szCs w:val="26"/>
        </w:rPr>
      </w:pPr>
      <w:r>
        <w:rPr>
          <w:rFonts w:cs="Arial" w:ascii="Arial" w:hAnsi="Arial"/>
          <w:szCs w:val="26"/>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tabs>
          <w:tab w:val="clear" w:pos="720"/>
          <w:tab w:val="left" w:pos="-1440" w:leader="none"/>
        </w:tabs>
        <w:jc w:val="both"/>
        <w:rPr>
          <w:rFonts w:ascii="Arial" w:hAnsi="Arial" w:cs="Arial"/>
          <w:szCs w:val="26"/>
        </w:rPr>
      </w:pPr>
      <w:r>
        <w:rPr>
          <w:rFonts w:cs="Arial" w:ascii="Arial" w:hAnsi="Arial"/>
          <w:szCs w:val="26"/>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Heading2"/>
        <w:ind w:hanging="0" w:end="0"/>
        <w:rPr>
          <w:rFonts w:cs="Arial"/>
          <w:szCs w:val="26"/>
        </w:rPr>
      </w:pPr>
      <w:r>
        <w:rPr>
          <w:rFonts w:cs="Arial"/>
        </w:rPr>
        <w:t>Requests of Commission Staff</w:t>
      </w:r>
    </w:p>
    <w:p>
      <w:pPr>
        <w:pStyle w:val="Normal"/>
        <w:jc w:val="center"/>
        <w:rPr>
          <w:rFonts w:ascii="Arial" w:hAnsi="Arial" w:cs="Arial"/>
        </w:rPr>
      </w:pPr>
      <w:r>
        <w:rPr>
          <w:rFonts w:cs="Arial" w:ascii="Arial" w:hAnsi="Arial"/>
        </w:rPr>
        <w:t>(September 24, 2001)</w:t>
      </w:r>
    </w:p>
    <w:p>
      <w:pPr>
        <w:pStyle w:val="Normal"/>
        <w:ind w:firstLine="720" w:end="0"/>
        <w:jc w:val="both"/>
        <w:rPr>
          <w:rFonts w:ascii="Arial" w:hAnsi="Arial" w:eastAsia="Arial" w:cs="Arial"/>
          <w:szCs w:val="26"/>
        </w:rPr>
      </w:pPr>
      <w:r>
        <w:rPr>
          <w:rFonts w:eastAsia="Arial" w:cs="Arial" w:ascii="Arial" w:hAnsi="Arial"/>
          <w:szCs w:val="26"/>
        </w:rPr>
        <w:t xml:space="preserve">  </w:t>
      </w:r>
    </w:p>
    <w:p>
      <w:pPr>
        <w:pStyle w:val="BodyText"/>
        <w:rPr/>
      </w:pPr>
      <w:r>
        <w:rPr>
          <w:rFonts w:cs="Arial" w:ascii="Arial" w:hAnsi="Arial"/>
          <w:u w:val="single"/>
        </w:rPr>
        <w:t>Request No. 2</w:t>
      </w:r>
      <w:r>
        <w:rPr>
          <w:rFonts w:cs="Arial" w:ascii="Arial" w:hAnsi="Arial"/>
        </w:rPr>
        <w:t>:</w:t>
        <w:tab/>
        <w:t>There is a provision in the Full Requirement contracts that limits El Paso's obligation to deliver to existing facilities (it is listed at the bottom of the page as an * in Exhibit B).  Provide an explanation of the circumstances under which this limitation on constructing facilities to satisfy the contract quantity of the Full Requirements customers would be applicable.  Has El Paso ever invoked this provision? If so, provide an explanation of each instance.</w:t>
      </w:r>
    </w:p>
    <w:p>
      <w:pPr>
        <w:pStyle w:val="BodyText"/>
        <w:rPr>
          <w:rFonts w:ascii="Arial" w:hAnsi="Arial" w:cs="Arial"/>
        </w:rPr>
      </w:pPr>
      <w:r>
        <w:rPr>
          <w:rFonts w:cs="Arial" w:ascii="Arial" w:hAnsi="Arial"/>
        </w:rPr>
      </w:r>
    </w:p>
    <w:p>
      <w:pPr>
        <w:pStyle w:val="Normal"/>
        <w:jc w:val="both"/>
        <w:rPr/>
      </w:pPr>
      <w:r>
        <w:rPr>
          <w:rFonts w:cs="Arial" w:ascii="Arial" w:hAnsi="Arial"/>
          <w:u w:val="single"/>
        </w:rPr>
        <w:t>Response No. 2</w:t>
      </w:r>
      <w:r>
        <w:rPr>
          <w:rFonts w:cs="Arial" w:ascii="Arial" w:hAnsi="Arial"/>
        </w:rPr>
        <w:t>:</w:t>
        <w:tab/>
        <w:t xml:space="preserve">Exhibit B to each full requirements (“FR”) Transportation Service Agreement (“TSA”) lists each Delivery Point under the TSA, specifying the applicable Delivery Point Code, geographic location, Delivery Pressure obligation (if any), and Maximum Daily Quantity (“MDQ”) of gas.  For almost all Delivery Points under FR TSAs, the MDQ is not quantified; instead there is an asterisk (*) which references the note described in this Data Request.  </w:t>
      </w:r>
    </w:p>
    <w:p>
      <w:pPr>
        <w:pStyle w:val="Normal"/>
        <w:rPr>
          <w:rFonts w:ascii="Arial" w:hAnsi="Arial" w:cs="Arial"/>
        </w:rPr>
      </w:pPr>
      <w:r>
        <w:rPr>
          <w:rFonts w:cs="Arial" w:ascii="Arial" w:hAnsi="Arial"/>
        </w:rPr>
      </w:r>
    </w:p>
    <w:p>
      <w:pPr>
        <w:pStyle w:val="BodyText2"/>
        <w:ind w:firstLine="720" w:end="0"/>
        <w:rPr/>
      </w:pPr>
      <w:r>
        <w:rPr>
          <w:rFonts w:cs="Arial" w:ascii="Arial" w:hAnsi="Arial"/>
        </w:rPr>
        <w:t>The general form of the note in Exhibit B reads as follows:</w:t>
      </w:r>
      <w:r>
        <w:rPr>
          <w:rStyle w:val="FootnoteCharacters"/>
          <w:rStyle w:val="FootnoteReference"/>
          <w:rFonts w:cs="Arial" w:ascii="Arial" w:hAnsi="Arial"/>
        </w:rPr>
        <w:footnoteReference w:id="2"/>
      </w:r>
      <w:r>
        <w:rPr>
          <w:rFonts w:cs="Arial" w:ascii="Arial" w:hAnsi="Arial"/>
        </w:rPr>
        <w:t xml:space="preserve"> </w:t>
      </w:r>
    </w:p>
    <w:p>
      <w:pPr>
        <w:pStyle w:val="Normal"/>
        <w:rPr>
          <w:rFonts w:ascii="Arial" w:hAnsi="Arial" w:cs="Arial"/>
        </w:rPr>
      </w:pPr>
      <w:r>
        <w:rPr>
          <w:rFonts w:cs="Arial" w:ascii="Arial" w:hAnsi="Arial"/>
        </w:rPr>
      </w:r>
    </w:p>
    <w:p>
      <w:pPr>
        <w:pStyle w:val="BodyTextIndent"/>
        <w:jc w:val="both"/>
        <w:rPr>
          <w:rFonts w:ascii="Arial" w:hAnsi="Arial" w:cs="Arial"/>
        </w:rPr>
      </w:pPr>
      <w:r>
        <w:rPr>
          <w:rFonts w:cs="Arial" w:ascii="Arial" w:hAnsi="Arial"/>
        </w:rPr>
        <w:t>El Paso’s obligation to deliver up to Shipper’s full requirements is limited by operational and capacity limitations existing from time to time for the facilities at each Delivery Point; El Paso shall not be required to construct additional facilities required to make deliveries of natural gas in quantities exceeding such operational and capacity limitations, except as otherwise undertaken in El Paso’s Stipulation and Agreement filed at Docket No. RP88-44-000.</w:t>
      </w:r>
    </w:p>
    <w:p>
      <w:pPr>
        <w:pStyle w:val="Normal"/>
        <w:rPr>
          <w:rFonts w:ascii="Arial" w:hAnsi="Arial" w:cs="Arial"/>
        </w:rPr>
      </w:pPr>
      <w:r>
        <w:rPr>
          <w:rFonts w:cs="Arial" w:ascii="Arial" w:hAnsi="Arial"/>
        </w:rPr>
      </w:r>
    </w:p>
    <w:p>
      <w:pPr>
        <w:pStyle w:val="Normal"/>
        <w:jc w:val="both"/>
        <w:rPr/>
      </w:pPr>
      <w:r>
        <w:rPr>
          <w:rFonts w:cs="Arial" w:ascii="Arial" w:hAnsi="Arial"/>
        </w:rPr>
        <w:t xml:space="preserve">The agreement reflected in the note had its origin in the “Global Settlement” approved by the Commission in </w:t>
      </w:r>
      <w:r>
        <w:rPr>
          <w:rFonts w:cs="Arial" w:ascii="Arial" w:hAnsi="Arial"/>
          <w:i/>
          <w:iCs/>
        </w:rPr>
        <w:t xml:space="preserve">El Paso Natural Gas Co., </w:t>
      </w:r>
      <w:r>
        <w:rPr>
          <w:rFonts w:cs="Arial" w:ascii="Arial" w:hAnsi="Arial"/>
        </w:rPr>
        <w:t xml:space="preserve">54 FERC ¶ 61,316, </w:t>
      </w:r>
      <w:r>
        <w:rPr>
          <w:rFonts w:cs="Arial" w:ascii="Arial" w:hAnsi="Arial"/>
          <w:i/>
          <w:iCs/>
        </w:rPr>
        <w:t>order on reh’g,</w:t>
      </w:r>
      <w:r>
        <w:rPr>
          <w:rFonts w:cs="Arial" w:ascii="Arial" w:hAnsi="Arial"/>
        </w:rPr>
        <w:t xml:space="preserve"> 56 FERC ¶ 61,290 (1991), the proceeding in which the former FR sales contracts were converted to FR TSAs.  In that Settlement, the limitations on El Paso's obligation to provide FR transportation to the converting FR sales customers was specifically defined:</w:t>
      </w:r>
    </w:p>
    <w:p>
      <w:pPr>
        <w:pStyle w:val="Normal"/>
        <w:rPr>
          <w:rFonts w:ascii="Arial" w:hAnsi="Arial" w:cs="Arial"/>
        </w:rPr>
      </w:pPr>
      <w:r>
        <w:rPr>
          <w:rFonts w:cs="Arial" w:ascii="Arial" w:hAnsi="Arial"/>
        </w:rPr>
      </w:r>
    </w:p>
    <w:p>
      <w:pPr>
        <w:pStyle w:val="BodyTextIndent"/>
        <w:jc w:val="both"/>
        <w:rPr>
          <w:rFonts w:ascii="Arial" w:hAnsi="Arial" w:cs="Arial"/>
        </w:rPr>
      </w:pPr>
      <w:r>
        <w:rPr>
          <w:rFonts w:cs="Arial" w:ascii="Arial" w:hAnsi="Arial"/>
        </w:rPr>
        <w:t xml:space="preserve">It is stipulated and agreed that El Paso’s obligation to provide firm transportation to converting sales customers is subject to the capacity limitations of El Paso’s pipeline system as that system may exist from time to time and to the operating terms and conditions applicable to firm transportation set forth in El Paso’s FERC Gas Tariff, as they may be </w:t>
      </w:r>
    </w:p>
    <w:p>
      <w:pPr>
        <w:pStyle w:val="BodyTextIndent"/>
        <w:ind w:start="0" w:end="0"/>
        <w:jc w:val="both"/>
        <w:rPr>
          <w:rFonts w:ascii="Arial" w:hAnsi="Arial" w:cs="Arial"/>
        </w:rPr>
      </w:pPr>
      <w:r>
        <w:rPr>
          <w:rFonts w:cs="Arial" w:ascii="Arial" w:hAnsi="Arial"/>
        </w:rPr>
      </w:r>
    </w:p>
    <w:p>
      <w:pPr>
        <w:pStyle w:val="BodyTextIndent"/>
        <w:ind w:start="0" w:end="0"/>
        <w:jc w:val="both"/>
        <w:rPr>
          <w:rFonts w:ascii="Arial" w:hAnsi="Arial" w:cs="Arial"/>
        </w:rPr>
      </w:pPr>
      <w:r>
        <w:rPr>
          <w:rFonts w:cs="Arial" w:ascii="Arial" w:hAnsi="Arial"/>
        </w:rPr>
        <w:t>Response No. 2 (continued)</w:t>
      </w:r>
    </w:p>
    <w:p>
      <w:pPr>
        <w:pStyle w:val="BodyTextIndent"/>
        <w:jc w:val="both"/>
        <w:rPr>
          <w:rFonts w:ascii="Arial" w:hAnsi="Arial" w:cs="Arial"/>
        </w:rPr>
      </w:pPr>
      <w:r>
        <w:rPr>
          <w:rFonts w:cs="Arial" w:ascii="Arial" w:hAnsi="Arial"/>
        </w:rPr>
      </w:r>
    </w:p>
    <w:p>
      <w:pPr>
        <w:pStyle w:val="BodyTextIndent"/>
        <w:jc w:val="both"/>
        <w:rPr>
          <w:rFonts w:ascii="Arial" w:hAnsi="Arial" w:cs="Arial"/>
        </w:rPr>
      </w:pPr>
      <w:r>
        <w:rPr>
          <w:rFonts w:cs="Arial" w:ascii="Arial" w:hAnsi="Arial"/>
        </w:rPr>
        <w:t>modified from time to time. . . .  If, at any time the capacity of the El Paso system is not sufficient to satisfy the demands of a converting full requirements transportation customer, El Paso shall construct such non-jurisdictional facilities and/or apply to the FERC for authorization to construct such jurisdictional facilities as may be required to satisfy those demands: provided however, that El Paso shall not be required to construct any facilities that are not economically justifiable.  The provisions of this Section 3.6 shall survive the term of this Stipulation and Agreement.</w:t>
      </w:r>
    </w:p>
    <w:p>
      <w:pPr>
        <w:pStyle w:val="Normal"/>
        <w:ind w:start="720" w:end="0"/>
        <w:rPr>
          <w:rFonts w:ascii="Arial" w:hAnsi="Arial" w:cs="Arial"/>
        </w:rPr>
      </w:pPr>
      <w:r>
        <w:rPr>
          <w:rFonts w:cs="Arial" w:ascii="Arial" w:hAnsi="Arial"/>
        </w:rPr>
      </w:r>
    </w:p>
    <w:p>
      <w:pPr>
        <w:pStyle w:val="Normal"/>
        <w:ind w:firstLine="720" w:end="0"/>
        <w:jc w:val="both"/>
        <w:rPr/>
      </w:pPr>
      <w:r>
        <w:rPr>
          <w:rFonts w:cs="Arial" w:ascii="Arial" w:hAnsi="Arial"/>
        </w:rPr>
        <w:t>Global Settlement, ¶3.6</w:t>
      </w:r>
      <w:r>
        <w:rPr>
          <w:rFonts w:cs="Arial" w:ascii="Arial" w:hAnsi="Arial"/>
          <w:i/>
          <w:iCs/>
        </w:rPr>
        <w:t>.</w:t>
      </w:r>
      <w:r>
        <w:rPr>
          <w:rFonts w:cs="Arial" w:ascii="Arial" w:hAnsi="Arial"/>
        </w:rPr>
        <w:t xml:space="preserve"> </w:t>
      </w:r>
    </w:p>
    <w:p>
      <w:pPr>
        <w:pStyle w:val="Normal"/>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In approving the Global Settlement the Commission specifically addressed and approved the foregoing provision:</w:t>
      </w:r>
    </w:p>
    <w:p>
      <w:pPr>
        <w:pStyle w:val="Normal"/>
        <w:rPr>
          <w:rFonts w:ascii="Arial" w:hAnsi="Arial" w:cs="Arial"/>
        </w:rPr>
      </w:pPr>
      <w:r>
        <w:rPr>
          <w:rFonts w:cs="Arial" w:ascii="Arial" w:hAnsi="Arial"/>
        </w:rPr>
      </w:r>
    </w:p>
    <w:p>
      <w:pPr>
        <w:pStyle w:val="BodyTextIndent"/>
        <w:jc w:val="both"/>
        <w:rPr/>
      </w:pPr>
      <w:r>
        <w:rPr>
          <w:rFonts w:cs="Arial" w:ascii="Arial" w:hAnsi="Arial"/>
        </w:rPr>
        <w:t xml:space="preserve">The Commission finds reasonable the settlement provision that El Paso will construct additional capacity to serve the full requirements customers’ expanding load if such construction is “economically justifiable.”  . . . .  The settlement does not provide El Paso with the authority to decide at its own discretion whether it will pay for the construction of certain customers, but rather provides that it will build additional capacity when it is needed.  The only </w:t>
      </w:r>
      <w:r>
        <w:rPr>
          <w:rFonts w:cs="Arial" w:ascii="Arial" w:hAnsi="Arial"/>
          <w:u w:val="single"/>
        </w:rPr>
        <w:t>qualifier</w:t>
      </w:r>
      <w:r>
        <w:rPr>
          <w:rFonts w:cs="Arial" w:ascii="Arial" w:hAnsi="Arial"/>
        </w:rPr>
        <w:t xml:space="preserve"> is that </w:t>
      </w:r>
      <w:r>
        <w:rPr>
          <w:rFonts w:cs="Arial" w:ascii="Arial" w:hAnsi="Arial"/>
          <w:u w:val="single"/>
        </w:rPr>
        <w:t>El Paso will</w:t>
      </w:r>
      <w:r>
        <w:rPr>
          <w:rFonts w:cs="Arial" w:ascii="Arial" w:hAnsi="Arial"/>
        </w:rPr>
        <w:t xml:space="preserve"> </w:t>
      </w:r>
      <w:r>
        <w:rPr>
          <w:rFonts w:cs="Arial" w:ascii="Arial" w:hAnsi="Arial"/>
          <w:u w:val="single"/>
        </w:rPr>
        <w:t>not build what it determines to be uneconomic facilities</w:t>
      </w:r>
      <w:r>
        <w:rPr>
          <w:rFonts w:cs="Arial" w:ascii="Arial" w:hAnsi="Arial"/>
        </w:rPr>
        <w:t xml:space="preserve">.  </w:t>
      </w:r>
      <w:r>
        <w:rPr>
          <w:rFonts w:cs="Arial" w:ascii="Arial" w:hAnsi="Arial"/>
          <w:u w:val="single"/>
        </w:rPr>
        <w:t>The decision whether to undertake to build additional capacity at all is a business decision that is left to the pipeline in the first instance under the NGA</w:t>
      </w:r>
      <w:r>
        <w:rPr>
          <w:rFonts w:cs="Arial" w:ascii="Arial" w:hAnsi="Arial"/>
        </w:rPr>
        <w:t xml:space="preserve">, subject to the jurisdiction of the Commission to issue a certificate for the expansion based on a determination of the public convenience and necessity.  </w:t>
      </w:r>
    </w:p>
    <w:p>
      <w:pPr>
        <w:pStyle w:val="Normal"/>
        <w:ind w:start="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54 FERC at 61,923 (emphasis added, footnote omitted).  </w:t>
      </w:r>
    </w:p>
    <w:p>
      <w:pPr>
        <w:pStyle w:val="Normal"/>
        <w:rPr>
          <w:rFonts w:ascii="Arial" w:hAnsi="Arial" w:cs="Arial"/>
        </w:rPr>
      </w:pPr>
      <w:r>
        <w:rPr>
          <w:rFonts w:cs="Arial" w:ascii="Arial" w:hAnsi="Arial"/>
        </w:rPr>
      </w:r>
    </w:p>
    <w:p>
      <w:pPr>
        <w:pStyle w:val="BodyText2"/>
        <w:ind w:firstLine="720" w:end="0"/>
        <w:rPr>
          <w:rFonts w:ascii="Arial" w:hAnsi="Arial" w:cs="Arial"/>
        </w:rPr>
      </w:pPr>
      <w:r>
        <w:rPr>
          <w:rFonts w:cs="Arial" w:ascii="Arial" w:hAnsi="Arial"/>
        </w:rPr>
        <w:t xml:space="preserve">In applying Exhibit B, El Paso has always scheduled requested deliveries to FR customers based on the premise that its volumetric obligation is limited only by the physical and operational capabilities of its system.  When demand for natural gas deliveries on a consistent basis outstrips El Paso's physical capacity, El Paso assesses whether it is economically justifiable to add new facilities.  In some cases, El Paso determines that the addition of facilities is justifiable from an economic perspective and applies for a certificate; in other cases it comes to the opposite conclusion.  </w:t>
      </w:r>
    </w:p>
    <w:p>
      <w:pPr>
        <w:pStyle w:val="Normal"/>
        <w:rPr>
          <w:rFonts w:ascii="Arial" w:hAnsi="Arial" w:cs="Arial"/>
        </w:rPr>
      </w:pPr>
      <w:r>
        <w:rPr>
          <w:rFonts w:cs="Arial" w:ascii="Arial" w:hAnsi="Arial"/>
        </w:rPr>
      </w:r>
    </w:p>
    <w:p>
      <w:pPr>
        <w:pStyle w:val="BodyTextIndent"/>
        <w:ind w:firstLine="720" w:start="0" w:end="0"/>
        <w:jc w:val="both"/>
        <w:rPr>
          <w:rFonts w:ascii="Arial" w:hAnsi="Arial" w:cs="Arial"/>
        </w:rPr>
      </w:pPr>
      <w:r>
        <w:rPr>
          <w:rFonts w:cs="Arial" w:ascii="Arial" w:hAnsi="Arial"/>
        </w:rPr>
        <w:t xml:space="preserve">In 1995, El Paso increased the capacity of its San Juan Triangle facilities by 300 MMcf/d in order to deliver more San Juan Basin gas to both its FR and CD customers.  El Paso determined that the expansion was economically justifiable because its customers were willing to allow El Paso to include the cost of that expansion in its rates, thereby giving El Paso a reasonable opportunity to </w:t>
      </w:r>
    </w:p>
    <w:p>
      <w:pPr>
        <w:pStyle w:val="BodyTextIndent"/>
        <w:ind w:start="0" w:end="0"/>
        <w:jc w:val="both"/>
        <w:rPr>
          <w:rFonts w:ascii="Arial" w:hAnsi="Arial" w:cs="Arial"/>
        </w:rPr>
      </w:pPr>
      <w:r>
        <w:rPr>
          <w:rFonts w:cs="Arial" w:ascii="Arial" w:hAnsi="Arial"/>
        </w:rPr>
        <w:t>Response No. 2 (continued)</w:t>
      </w:r>
    </w:p>
    <w:p>
      <w:pPr>
        <w:pStyle w:val="BodyTextIndent"/>
        <w:ind w:firstLine="720" w:start="0" w:end="0"/>
        <w:jc w:val="both"/>
        <w:rPr>
          <w:rFonts w:ascii="Arial" w:hAnsi="Arial" w:cs="Arial"/>
        </w:rPr>
      </w:pPr>
      <w:r>
        <w:rPr>
          <w:rFonts w:cs="Arial" w:ascii="Arial" w:hAnsi="Arial"/>
        </w:rPr>
      </w:r>
    </w:p>
    <w:p>
      <w:pPr>
        <w:pStyle w:val="BodyTextIndent"/>
        <w:ind w:start="0" w:end="0"/>
        <w:jc w:val="both"/>
        <w:rPr>
          <w:rFonts w:ascii="Arial" w:hAnsi="Arial" w:cs="Arial"/>
        </w:rPr>
      </w:pPr>
      <w:r>
        <w:rPr>
          <w:rFonts w:cs="Arial" w:ascii="Arial" w:hAnsi="Arial"/>
        </w:rPr>
        <w:t>recover its investment and operating costs.  An opposite result occurred earlier this year.  After receiving non-binding expressions of great interest by both FR and CD customers in the powering-up of El Paso's Line 2000 and in the conversion of Line 1903 to natural gas service so that the system would be capable of incremental deliveries, El Paso held binding open seasons for those expansions commencing July 5, 2001 and June 19, 2001, respectively.  El Paso did not receive sufficient bids for new contracts for those expansions to cover the cost of the facilities.  Moreover, even though FR customers are complaining in this proceeding and others that El Paso has an obligation to expand the system to meet their demand growth, to date they have not offered to contribute to the cost of either proposed expansions.  As a result, El Paso has not determined to go forward with either of those projects because, absent some consideration on the part of the customers, those projects are not economically justifiable.</w:t>
      </w:r>
    </w:p>
    <w:p>
      <w:pPr>
        <w:pStyle w:val="BodyTextIndent"/>
        <w:ind w:start="0" w:end="0"/>
        <w:jc w:val="both"/>
        <w:rPr>
          <w:rFonts w:ascii="Arial" w:hAnsi="Arial" w:cs="Arial"/>
        </w:rPr>
      </w:pPr>
      <w:r>
        <w:rPr>
          <w:rFonts w:cs="Arial" w:ascii="Arial" w:hAnsi="Arial"/>
        </w:rPr>
      </w:r>
    </w:p>
    <w:p>
      <w:pPr>
        <w:pStyle w:val="BodyTextIndent"/>
        <w:ind w:firstLine="720" w:start="0" w:end="0"/>
        <w:jc w:val="both"/>
        <w:rPr>
          <w:rFonts w:ascii="Arial" w:hAnsi="Arial" w:cs="Arial"/>
        </w:rPr>
      </w:pPr>
      <w:r>
        <w:rPr>
          <w:rFonts w:cs="Arial" w:ascii="Arial" w:hAnsi="Arial"/>
        </w:rPr>
        <w:t xml:space="preserve">El Paso has made one decision this year that has been based on factors other than the provisions in Exhibit B.  Specifically, El Paso determined to go forward with its Line 2000 Project as a system flexibility project rather than a compression replacement project as originally contemplated in order to compensate for the temporary reduction of approximately 250 MMcf/d in system capacity that resulted from the Carlsbad rupture on August 19, 2000.  The capacity that will be made available on the system as a result of this change in the Line 2000 Project is 230 MMcf/d.  El Paso is not seeking cost coverage in its rates, or new contracts for this capacity, until its next rate case, which will become effective on January 1, 2006.  Although from a strictly economic perspective this flexibility project is not currently justifiable, El Paso determined that extraordinary circumstances justified this investment.  </w:t>
      </w:r>
    </w:p>
    <w:p>
      <w:pPr>
        <w:pStyle w:val="Normal"/>
        <w:jc w:val="both"/>
        <w:rPr>
          <w:rFonts w:ascii="Arial" w:hAnsi="Arial" w:cs="Arial"/>
          <w:szCs w:val="26"/>
        </w:rPr>
      </w:pPr>
      <w:r>
        <w:rPr>
          <w:rFonts w:cs="Arial" w:ascii="Arial" w:hAnsi="Arial"/>
          <w:szCs w:val="26"/>
        </w:rPr>
        <w:t> </w:t>
      </w:r>
    </w:p>
    <w:p>
      <w:pPr>
        <w:pStyle w:val="Normal"/>
        <w:jc w:val="both"/>
        <w:rPr>
          <w:rFonts w:ascii="Arial" w:hAnsi="Arial" w:cs="Arial"/>
          <w:szCs w:val="26"/>
        </w:rPr>
      </w:pPr>
      <w:r>
        <w:rPr>
          <w:rFonts w:cs="Arial" w:ascii="Arial" w:hAnsi="Arial"/>
          <w:szCs w:val="26"/>
        </w:rPr>
      </w:r>
    </w:p>
    <w:p>
      <w:pPr>
        <w:pStyle w:val="Normal"/>
        <w:jc w:val="both"/>
        <w:rPr>
          <w:rFonts w:ascii="Arial" w:hAnsi="Arial" w:cs="Arial"/>
          <w:szCs w:val="26"/>
        </w:rPr>
      </w:pPr>
      <w:r>
        <w:rPr>
          <w:rFonts w:cs="Arial" w:ascii="Arial" w:hAnsi="Arial"/>
          <w:szCs w:val="26"/>
        </w:rPr>
      </w:r>
    </w:p>
    <w:p>
      <w:pPr>
        <w:pStyle w:val="Normal"/>
        <w:jc w:val="both"/>
        <w:rPr>
          <w:rFonts w:ascii="Arial" w:hAnsi="Arial" w:cs="Arial"/>
          <w:szCs w:val="26"/>
        </w:rPr>
      </w:pPr>
      <w:r>
        <w:rPr>
          <w:rFonts w:cs="Arial" w:ascii="Arial" w:hAnsi="Arial"/>
          <w:szCs w:val="26"/>
        </w:rPr>
      </w:r>
    </w:p>
    <w:p>
      <w:pPr>
        <w:pStyle w:val="Normal"/>
        <w:jc w:val="both"/>
        <w:rPr>
          <w:rFonts w:ascii="Arial" w:hAnsi="Arial" w:cs="Arial"/>
          <w:szCs w:val="26"/>
        </w:rPr>
      </w:pPr>
      <w:r>
        <w:rPr>
          <w:rFonts w:cs="Arial" w:ascii="Arial" w:hAnsi="Arial"/>
          <w:szCs w:val="26"/>
        </w:rPr>
      </w:r>
    </w:p>
    <w:p>
      <w:pPr>
        <w:pStyle w:val="Normal"/>
        <w:jc w:val="both"/>
        <w:rPr>
          <w:rFonts w:ascii="Arial" w:hAnsi="Arial" w:cs="Arial"/>
          <w:szCs w:val="26"/>
        </w:rPr>
      </w:pPr>
      <w:r>
        <w:rPr>
          <w:rFonts w:cs="Arial" w:ascii="Arial" w:hAnsi="Arial"/>
          <w:szCs w:val="26"/>
        </w:rPr>
      </w:r>
    </w:p>
    <w:p>
      <w:pPr>
        <w:pStyle w:val="Normal"/>
        <w:jc w:val="both"/>
        <w:rPr>
          <w:rFonts w:ascii="Arial" w:hAnsi="Arial" w:cs="Arial"/>
          <w:szCs w:val="26"/>
        </w:rPr>
      </w:pPr>
      <w:r>
        <w:rPr>
          <w:rFonts w:cs="Arial" w:ascii="Arial" w:hAnsi="Arial"/>
          <w:szCs w:val="26"/>
        </w:rPr>
      </w:r>
    </w:p>
    <w:p>
      <w:pPr>
        <w:pStyle w:val="Normal"/>
        <w:jc w:val="both"/>
        <w:rPr>
          <w:rFonts w:ascii="Arial" w:hAnsi="Arial" w:cs="Arial"/>
          <w:szCs w:val="26"/>
        </w:rPr>
      </w:pPr>
      <w:r>
        <w:rPr>
          <w:rFonts w:cs="Arial" w:ascii="Arial" w:hAnsi="Arial"/>
          <w:szCs w:val="26"/>
        </w:rPr>
      </w:r>
    </w:p>
    <w:p>
      <w:pPr>
        <w:sectPr>
          <w:headerReference w:type="default" r:id="rId4"/>
          <w:footerReference w:type="default" r:id="rId5"/>
          <w:footerReference w:type="first" r:id="rId6"/>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Normal"/>
        <w:jc w:val="both"/>
        <w:rPr>
          <w:rFonts w:ascii="Arial" w:hAnsi="Arial" w:cs="Arial"/>
          <w:szCs w:val="26"/>
        </w:rPr>
      </w:pPr>
      <w:r>
        <w:rPr>
          <w:rFonts w:cs="Arial" w:ascii="Arial" w:hAnsi="Arial"/>
          <w:szCs w:val="26"/>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Heading2"/>
        <w:ind w:hanging="0" w:end="0"/>
        <w:rPr>
          <w:rFonts w:cs="Arial"/>
          <w:szCs w:val="26"/>
        </w:rPr>
      </w:pPr>
      <w:r>
        <w:rPr>
          <w:rFonts w:cs="Arial"/>
        </w:rPr>
        <w:t>Requests of Commission Staff</w:t>
      </w:r>
    </w:p>
    <w:p>
      <w:pPr>
        <w:pStyle w:val="Normal"/>
        <w:jc w:val="center"/>
        <w:rPr>
          <w:rFonts w:ascii="Arial" w:hAnsi="Arial" w:cs="Arial"/>
          <w:szCs w:val="26"/>
        </w:rPr>
      </w:pPr>
      <w:r>
        <w:rPr>
          <w:rFonts w:cs="Arial" w:ascii="Arial" w:hAnsi="Arial"/>
          <w:szCs w:val="26"/>
        </w:rPr>
        <w:t>(September 24, 2001)</w:t>
      </w:r>
    </w:p>
    <w:p>
      <w:pPr>
        <w:pStyle w:val="BodyText"/>
        <w:rPr>
          <w:rFonts w:ascii="Arial" w:hAnsi="Arial" w:cs="Arial"/>
          <w:szCs w:val="26"/>
        </w:rPr>
      </w:pPr>
      <w:r>
        <w:rPr>
          <w:rFonts w:cs="Arial" w:ascii="Arial" w:hAnsi="Arial"/>
          <w:szCs w:val="26"/>
        </w:rPr>
      </w:r>
    </w:p>
    <w:p>
      <w:pPr>
        <w:pStyle w:val="BodyText"/>
        <w:rPr/>
      </w:pPr>
      <w:r>
        <w:rPr>
          <w:rFonts w:cs="Arial" w:ascii="Arial" w:hAnsi="Arial"/>
          <w:u w:val="single"/>
        </w:rPr>
        <w:t>Request No. 3</w:t>
      </w:r>
      <w:r>
        <w:rPr>
          <w:rFonts w:cs="Arial" w:ascii="Arial" w:hAnsi="Arial"/>
        </w:rPr>
        <w:t>:</w:t>
        <w:tab/>
        <w:t xml:space="preserve">El Paso's proposal is to allocate capacity to its customers at twenty pools.  Other pipelines allocate specific capacity to each receipt point on a firm basis and provide customers the flexibility to nominate to an alternate point on a best efforts basis or to trade primary firm rights on the capacity release market.  Explain why El Paso does not propose to allocate capacity at each receipt point in this way?  Are there any operational reasons for not allocating specific capacity to each receipt point on the El Paso system?  Provide all engineering documentation to support any such operational reasons.  Also, explain the ramifications of a requirement to use a one time pro-rata allocation of receipt point rights, similar to the one recently accomplished at the Topock delivery point, and whether such an approach is appropriate for all of El Paso's receipt points and/or pools.  </w:t>
      </w:r>
    </w:p>
    <w:p>
      <w:pPr>
        <w:pStyle w:val="BodyText"/>
        <w:rPr>
          <w:rFonts w:ascii="Arial" w:hAnsi="Arial" w:cs="Arial"/>
        </w:rPr>
      </w:pPr>
      <w:r>
        <w:rPr>
          <w:rFonts w:cs="Arial" w:ascii="Arial" w:hAnsi="Arial"/>
        </w:rPr>
      </w:r>
    </w:p>
    <w:p>
      <w:pPr>
        <w:pStyle w:val="BodyText"/>
        <w:rPr/>
      </w:pPr>
      <w:r>
        <w:rPr>
          <w:rFonts w:cs="Arial" w:ascii="Arial" w:hAnsi="Arial"/>
          <w:u w:val="single"/>
        </w:rPr>
        <w:t>Response No. 3</w:t>
      </w:r>
      <w:r>
        <w:rPr>
          <w:rFonts w:cs="Arial" w:ascii="Arial" w:hAnsi="Arial"/>
        </w:rPr>
        <w:t>:</w:t>
        <w:tab/>
        <w:t xml:space="preserve">El Paso’s proposal was designed to provide shippers with more flexibility in sourcing gas supplies by using pooling areas as the allocation points rather than forcing them to select individual receipt points at which to hold primary rights.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ab/>
        <w:t xml:space="preserve">From an engineering / operational perspective, there is no reason that primary receipt rights could not be assigned at the individual receipt point level, although adequate time would be required to rebuild El Paso’s business systems (capacity release, nominations and scheduling) to reflect such a change.  Assigning receipt rights to individual receipt points would likely result in some shippers having very small quantities of rights at a number of different points and would provide shippers with less flexibility in arranging gas purchases than assigning rights at the pooling areas.  In addition, the pooling process would have to be modified to insure that mainline shippers could exercise their rights at individual receipt points.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ab/>
        <w:t xml:space="preserve">El Paso’s March 27, 2001 proposal at Docket No. RP00-336 described an allocation process patterned after the example set by the Commission in the resolution of the Topock dispute.  It proposed to allow shippers to indicate where they would prefer to hold primary receipt rights and then used the current tariff, which is fundamentally based on pro rata allocations, to apportion the available capacity among the various shippers competing for the most desirable receipt pools.  Like the process mandated by the Commission at Topock, that proposal contemplated multiple rounds of request and allocation until all contracts were allocated primary receipt rights equal to their contract demand or billing determinant.  At the August 28, 2001 Technical Conference held in this </w:t>
      </w:r>
      <w:r>
        <w:br w:type="page"/>
      </w:r>
    </w:p>
    <w:p>
      <w:pPr>
        <w:pStyle w:val="BodyText"/>
        <w:rPr>
          <w:rFonts w:ascii="Arial" w:hAnsi="Arial" w:cs="Arial"/>
        </w:rPr>
      </w:pPr>
      <w:r>
        <w:rPr>
          <w:rFonts w:cs="Arial" w:ascii="Arial" w:hAnsi="Arial"/>
        </w:rPr>
        <w:t>Response No. 3 (continued)</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 xml:space="preserve">proceeding, El Paso provided a series of studies to demonstrate possible outcomes of the proposed process.  Study 2 demonstrated one possible outcome of this process using the receipt pooling area allocation points specified in El Paso’s proposal. </w:t>
      </w:r>
    </w:p>
    <w:p>
      <w:pPr>
        <w:pStyle w:val="BodyText"/>
        <w:rPr>
          <w:rFonts w:ascii="Arial" w:hAnsi="Arial" w:cs="Arial"/>
        </w:rPr>
      </w:pPr>
      <w:r>
        <w:rPr>
          <w:rFonts w:cs="Arial" w:ascii="Arial" w:hAnsi="Arial"/>
        </w:rPr>
      </w:r>
    </w:p>
    <w:p>
      <w:pPr>
        <w:sectPr>
          <w:headerReference w:type="default" r:id="rId7"/>
          <w:headerReference w:type="first" r:id="rId8"/>
          <w:footerReference w:type="default" r:id="rId9"/>
          <w:footerReference w:type="first" r:id="rId10"/>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pStyle w:val="BodyText"/>
        <w:rPr>
          <w:rFonts w:ascii="Arial" w:hAnsi="Arial" w:cs="Arial"/>
        </w:rPr>
      </w:pPr>
      <w:r>
        <w:rPr>
          <w:rFonts w:cs="Arial" w:ascii="Arial" w:hAnsi="Arial"/>
        </w:rPr>
        <w:tab/>
      </w:r>
    </w:p>
    <w:p>
      <w:pPr>
        <w:pStyle w:val="Normal"/>
        <w:jc w:val="both"/>
        <w:rPr>
          <w:rFonts w:ascii="Arial" w:hAnsi="Arial" w:cs="Arial"/>
        </w:rPr>
      </w:pPr>
      <w:r>
        <w:rPr>
          <w:rFonts w:cs="Arial" w:ascii="Arial" w:hAnsi="Arial"/>
        </w:rPr>
      </w:r>
    </w:p>
    <w:p>
      <w:pPr>
        <w:pStyle w:val="Heading1"/>
        <w:ind w:start="0" w:end="0"/>
        <w:jc w:val="center"/>
        <w:rPr>
          <w:rFonts w:eastAsia="Arial Unicode MS"/>
          <w:kern w:val="2"/>
          <w:sz w:val="24"/>
        </w:rPr>
      </w:pPr>
      <w:r>
        <w:rPr>
          <w:sz w:val="24"/>
        </w:rPr>
        <w:t>El Paso Natural Gas Company</w:t>
      </w:r>
    </w:p>
    <w:p>
      <w:pPr>
        <w:pStyle w:val="Heading1"/>
        <w:jc w:val="center"/>
        <w:rPr>
          <w:rFonts w:eastAsia="Arial Unicode MS"/>
          <w:bCs/>
          <w:kern w:val="2"/>
          <w:sz w:val="24"/>
        </w:rPr>
      </w:pPr>
      <w:r>
        <w:rPr>
          <w:rFonts w:eastAsia="Arial Unicode MS"/>
          <w:bCs/>
          <w:kern w:val="2"/>
          <w:sz w:val="24"/>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Heading2"/>
        <w:ind w:hanging="0" w:end="0"/>
        <w:rPr>
          <w:rFonts w:cs="Arial"/>
          <w:szCs w:val="26"/>
        </w:rPr>
      </w:pPr>
      <w:r>
        <w:rPr>
          <w:rFonts w:cs="Arial"/>
        </w:rPr>
        <w:t>Requests of Commission Staff</w:t>
      </w:r>
    </w:p>
    <w:p>
      <w:pPr>
        <w:pStyle w:val="BodyText"/>
        <w:jc w:val="center"/>
        <w:rPr>
          <w:rFonts w:ascii="Arial" w:hAnsi="Arial" w:cs="Arial"/>
        </w:rPr>
      </w:pPr>
      <w:r>
        <w:rPr>
          <w:rFonts w:cs="Arial" w:ascii="Arial" w:hAnsi="Arial"/>
        </w:rPr>
        <w:t>(September 24, 2001)</w:t>
      </w:r>
    </w:p>
    <w:p>
      <w:pPr>
        <w:pStyle w:val="Normal"/>
        <w:jc w:val="both"/>
        <w:rPr>
          <w:rFonts w:ascii="Arial" w:hAnsi="Arial" w:cs="Arial"/>
          <w:szCs w:val="26"/>
        </w:rPr>
      </w:pPr>
      <w:r>
        <w:rPr>
          <w:rFonts w:cs="Arial" w:ascii="Arial" w:hAnsi="Arial"/>
          <w:szCs w:val="26"/>
        </w:rPr>
        <w:t> </w:t>
      </w:r>
    </w:p>
    <w:p>
      <w:pPr>
        <w:pStyle w:val="BodyText"/>
        <w:rPr/>
      </w:pPr>
      <w:r>
        <w:rPr>
          <w:rFonts w:cs="Arial" w:ascii="Arial" w:hAnsi="Arial"/>
          <w:u w:val="single"/>
        </w:rPr>
        <w:t>Request No. 4</w:t>
      </w:r>
      <w:r>
        <w:rPr>
          <w:rFonts w:cs="Arial" w:ascii="Arial" w:hAnsi="Arial"/>
        </w:rPr>
        <w:t>:</w:t>
        <w:tab/>
        <w:t>At the July 18, 2001 technical conference, Commission Staff suggested the adoption of an OFO policy similar to the one in place on Northern Natural Gas Pipeline (Docket Nos. RP93-206 and RP96-347), where shippers share the cost of the basin differential when necessary.  Explain how El Paso could implement such a sharing mechanism and whether El Paso would use the OFO options described in Response No. 8 of its August 23 Data Response.  In particular, explain which shippers would receive the forecasted OFO and which shipper might receive the pre-arranged OFO, and what the cost impact might be to them. Provide as much detail as possible about the basin differential costs to be shared, and by whom.  Set forth a proposed reallocation of those differentials including each shipper surcharged.</w:t>
      </w:r>
    </w:p>
    <w:p>
      <w:pPr>
        <w:pStyle w:val="BodyText"/>
        <w:rPr>
          <w:rFonts w:ascii="Arial" w:hAnsi="Arial" w:cs="Arial"/>
        </w:rPr>
      </w:pPr>
      <w:r>
        <w:rPr>
          <w:rFonts w:cs="Arial" w:ascii="Arial" w:hAnsi="Arial"/>
        </w:rPr>
      </w:r>
    </w:p>
    <w:p>
      <w:pPr>
        <w:pStyle w:val="BodyText"/>
        <w:rPr/>
      </w:pPr>
      <w:r>
        <w:rPr>
          <w:rFonts w:cs="Arial" w:ascii="Arial" w:hAnsi="Arial"/>
          <w:u w:val="single"/>
        </w:rPr>
        <w:t>Response No. 4</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following discussion describes how El Paso could implement something similar to Northern Natural’s Carlton Resolution to the El Paso system.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Please note that because El Paso has proposed a </w:t>
      </w:r>
      <w:r>
        <w:rPr>
          <w:rFonts w:cs="Arial" w:ascii="Arial" w:hAnsi="Arial"/>
          <w:u w:val="single"/>
        </w:rPr>
        <w:t>process</w:t>
      </w:r>
      <w:r>
        <w:rPr>
          <w:rFonts w:cs="Arial" w:ascii="Arial" w:hAnsi="Arial"/>
        </w:rPr>
        <w:t xml:space="preserve"> for assigning primary receipt rights (as compared to an outcome), neither the specific shippers to whom such an OFO provision would apply nor the quantity of displacement capacity that may be required can be precisely identified until the process is complete.  Given that, El Paso has not attempted to calculate a proposed surcharge. </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On the El Paso system, the two most likely OFO requirements would relate to the North-to-South issue and to the Waha Pool where contracts exist for both receipts and significant deliveries.  The classes of shippers likely to be involved and the basis for determining the volumes subject to an OFO are described below:</w:t>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North-to-South Transfer Issue</w:t>
      </w:r>
      <w:r>
        <w:rPr>
          <w:rFonts w:cs="Arial" w:ascii="Arial" w:hAnsi="Arial"/>
        </w:rPr>
        <w:t xml:space="preserve"> - A Carlton Resolution type OFO designed to address this situation would have to require those shippers with Permian/Anadarko receipt rights and north system delivery rights to schedule gas to provide displacement capacity needed to honor primary San Juan Basin receipt rights assigned to customers with delivery points on the south system.  In general, shippers with north system delivery points tend to prefer San Juan gas because the price is lower than that for Permian or Anadarko gas and the usage charges are slightly lower.  </w:t>
      </w:r>
    </w:p>
    <w:p>
      <w:pPr>
        <w:pStyle w:val="Normal"/>
        <w:jc w:val="both"/>
        <w:rPr>
          <w:rFonts w:ascii="Arial" w:hAnsi="Arial" w:cs="Arial"/>
        </w:rPr>
      </w:pPr>
      <w:r>
        <w:rPr>
          <w:rFonts w:cs="Arial" w:ascii="Arial" w:hAnsi="Arial"/>
        </w:rPr>
        <w:t xml:space="preserve">The graph below demonstrates the magnitude and volatility of the gas price differential by plotting the difference between the Permian and San Juan Basin gas prices reported by Gas Daily.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82590" cy="3749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1"/>
                    <a:srcRect l="-4" t="-6" r="-4" b="-6"/>
                    <a:stretch>
                      <a:fillRect/>
                    </a:stretch>
                  </pic:blipFill>
                  <pic:spPr bwMode="auto">
                    <a:xfrm>
                      <a:off x="0" y="0"/>
                      <a:ext cx="5482590" cy="3749040"/>
                    </a:xfrm>
                    <a:prstGeom prst="rect">
                      <a:avLst/>
                    </a:prstGeom>
                    <a:noFill/>
                  </pic:spPr>
                </pic:pic>
              </a:graphicData>
            </a:graphic>
          </wp:anchor>
        </w:drawing>
      </w:r>
    </w:p>
    <w:p>
      <w:pPr>
        <w:pStyle w:val="Normal"/>
        <w:jc w:val="both"/>
        <w:rPr>
          <w:rFonts w:ascii="Arial" w:hAnsi="Arial" w:cs="Arial"/>
        </w:rPr>
      </w:pPr>
      <w:r>
        <w:rPr>
          <w:rFonts w:cs="Arial" w:ascii="Arial" w:hAnsi="Arial"/>
        </w:rPr>
      </w:r>
    </w:p>
    <w:p>
      <w:pPr>
        <w:pStyle w:val="Normal"/>
        <w:jc w:val="both"/>
        <w:rPr/>
      </w:pPr>
      <w:r>
        <w:rPr>
          <w:rFonts w:cs="Arial" w:ascii="Arial" w:hAnsi="Arial"/>
          <w:u w:val="single"/>
        </w:rPr>
        <w:t xml:space="preserve">Waha Bi-directional Interconnect Issue </w:t>
      </w:r>
      <w:r>
        <w:rPr>
          <w:rFonts w:cs="Arial" w:ascii="Arial" w:hAnsi="Arial"/>
        </w:rPr>
        <w:t xml:space="preserve">– A Carlton Resolution type OFO designed to address this situation would have to require those shippers with delivery rights at interconnects within the Waha pooling area to schedule gas to provide displacement capacity needed to honor primary Waha pool receipt rights assigned to customers with delivery points outside the pooling area.  The basis differentials to be used in this situation would have to reflect the primary receipt rights associated with the contracts involved.  Accordingly, the economic drivers vary for each of the shippers involved.  The shippers with Waha delivery rights are more likely to use their capacity to such Waha delivery points when the profit to be realized by selling into the Texas Intrastate market is greater than that attributable to sales into, for example, the California market.  </w:t>
      </w:r>
      <w:r>
        <w:br w:type="page"/>
      </w:r>
    </w:p>
    <w:p>
      <w:pPr>
        <w:pStyle w:val="Normal"/>
        <w:jc w:val="both"/>
        <w:rPr>
          <w:rFonts w:ascii="Arial" w:hAnsi="Arial" w:cs="Arial"/>
        </w:rPr>
      </w:pPr>
      <w:r>
        <w:rPr>
          <w:rFonts w:cs="Arial" w:ascii="Arial" w:hAnsi="Arial"/>
        </w:rPr>
        <w:t xml:space="preserve">The following graph demonstrates the magnitude and the volatility of the basis differentials between the San Juan Basin and deliveries to Waha and California. </w:t>
      </w:r>
    </w:p>
    <w:p>
      <w:pPr>
        <w:pStyle w:val="Normal"/>
        <w:jc w:val="both"/>
        <w:rPr>
          <w:rFonts w:ascii="Arial" w:hAnsi="Arial" w:cs="Arial"/>
        </w:rPr>
      </w:pPr>
      <w:r>
        <w:rPr>
          <w:rFonts w:cs="Arial" w:ascii="Arial" w:hAnsi="Arial"/>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2590" cy="37490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2"/>
                    <a:srcRect l="-4" t="-6" r="-4" b="-6"/>
                    <a:stretch>
                      <a:fillRect/>
                    </a:stretch>
                  </pic:blipFill>
                  <pic:spPr bwMode="auto">
                    <a:xfrm>
                      <a:off x="0" y="0"/>
                      <a:ext cx="5482590" cy="3749040"/>
                    </a:xfrm>
                    <a:prstGeom prst="rect">
                      <a:avLst/>
                    </a:prstGeom>
                    <a:noFill/>
                  </pic:spPr>
                </pic:pic>
              </a:graphicData>
            </a:graphic>
          </wp:anchor>
        </w:drawing>
      </w:r>
      <w:r>
        <w:br w:type="page"/>
      </w:r>
    </w:p>
    <w:p>
      <w:pPr>
        <w:pStyle w:val="Normal"/>
        <w:jc w:val="both"/>
        <w:rPr>
          <w:rFonts w:ascii="Arial" w:hAnsi="Arial" w:cs="Arial"/>
        </w:rPr>
      </w:pPr>
      <w:r>
        <w:rPr>
          <w:rFonts w:cs="Arial" w:ascii="Arial" w:hAnsi="Arial"/>
        </w:rPr>
        <w:t xml:space="preserve">The following graph demonstrates the magnitude and the volatility of the basis differentials between the Permian Basin and deliveries to Waha and California.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2590" cy="374904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3"/>
                    <a:srcRect l="-4" t="-6" r="-4" b="-6"/>
                    <a:stretch>
                      <a:fillRect/>
                    </a:stretch>
                  </pic:blipFill>
                  <pic:spPr bwMode="auto">
                    <a:xfrm>
                      <a:off x="0" y="0"/>
                      <a:ext cx="5482590" cy="3749040"/>
                    </a:xfrm>
                    <a:prstGeom prst="rect">
                      <a:avLst/>
                    </a:prstGeom>
                    <a:noFill/>
                  </pic:spPr>
                </pic:pic>
              </a:graphicData>
            </a:graphic>
          </wp:anchor>
        </w:drawing>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Unlike the problem addressed by the Carlton Resolution, which was a seasonal problem tied to system operating parameters, the need for displacement capacity to address the North-to-South Transfer Issue or the Waha Bi-directional Interconnect Issue could occur at any time of year.  In addition, the basis differentials that help to create these issues can change significantly from day to day.  Given that, the basic outline of such an OFO provision would entail at least these elements for each of the displacement issues to be addressed:</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El Paso would, as a part of the primary receipt right allocation process, identify those rights that cannot be honored without the use of displacement capacity.  This determination would be made based on the same assumptions regarding loads and capacities as were used in the allocation process.  This would identify the group of shippers eligible for assistance under the OFO (Group A) and the quantity of capacity that, under the assumed flowing conditions, could not be provided on a forward-haul basis (Needed Capacity).  </w:t>
      </w:r>
    </w:p>
    <w:p>
      <w:pPr>
        <w:pStyle w:val="Normal"/>
        <w:ind w:start="720"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Each shipper with receipt rights that could be used to offset the potential displacement capacity shortfall identified above would be identified and assigned a portion of the responsibility for providing displacement capacity in the event an OFO were called (Group B).  </w:t>
      </w:r>
    </w:p>
    <w:p>
      <w:pPr>
        <w:pStyle w:val="Normal"/>
        <w:ind w:start="720"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Using prior period gas price differentials reported in selected trade publications, basis differentials would be computed for the relevant supply areas.  </w:t>
      </w:r>
    </w:p>
    <w:p>
      <w:pPr>
        <w:pStyle w:val="Normal"/>
        <w:ind w:start="720"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The Group A shippers would be responsible for paying the Group B shippers an amount equal to the product of this differential multiplied by the Needed Capacity times the number of days in the year.  This fee would compensate the Group B shippers for agreeing to stand ready to transport gas (up to the limits applicable to their firm contracts) in a way that will provide the needed displacement capacity if and when an OFO is called.  </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There are details that would have to be worked out for this process to function as outlined including the three identified below:</w:t>
      </w:r>
    </w:p>
    <w:p>
      <w:pPr>
        <w:pStyle w:val="BodyText"/>
        <w:rPr>
          <w:rFonts w:ascii="Arial" w:hAnsi="Arial" w:cs="Arial"/>
        </w:rPr>
      </w:pPr>
      <w:r>
        <w:rPr>
          <w:rFonts w:cs="Arial" w:ascii="Arial" w:hAnsi="Arial"/>
        </w:rPr>
      </w:r>
    </w:p>
    <w:p>
      <w:pPr>
        <w:pStyle w:val="BodyText"/>
        <w:numPr>
          <w:ilvl w:val="0"/>
          <w:numId w:val="3"/>
        </w:numPr>
        <w:rPr>
          <w:rFonts w:ascii="Arial" w:hAnsi="Arial" w:cs="Arial"/>
        </w:rPr>
      </w:pPr>
      <w:r>
        <w:rPr>
          <w:rFonts w:cs="Arial" w:ascii="Arial" w:hAnsi="Arial"/>
        </w:rPr>
        <w:t xml:space="preserve">The proper prior period to be used in calculating the basis differential upon which to base the surcharge must be identified.  </w:t>
      </w:r>
    </w:p>
    <w:p>
      <w:pPr>
        <w:pStyle w:val="BodyText"/>
        <w:rPr>
          <w:rFonts w:ascii="Arial" w:hAnsi="Arial" w:cs="Arial"/>
        </w:rPr>
      </w:pPr>
      <w:r>
        <w:rPr>
          <w:rFonts w:cs="Arial" w:ascii="Arial" w:hAnsi="Arial"/>
        </w:rPr>
      </w:r>
    </w:p>
    <w:p>
      <w:pPr>
        <w:pStyle w:val="BodyText"/>
        <w:numPr>
          <w:ilvl w:val="0"/>
          <w:numId w:val="3"/>
        </w:numPr>
        <w:rPr>
          <w:rFonts w:ascii="Arial" w:hAnsi="Arial" w:cs="Arial"/>
        </w:rPr>
      </w:pPr>
      <w:r>
        <w:rPr>
          <w:rFonts w:cs="Arial" w:ascii="Arial" w:hAnsi="Arial"/>
        </w:rPr>
        <w:t xml:space="preserve">One, or some combination, of the OFO implementation options outlined in El Paso’s August 23 Response No. 8 would have to be selected.  Calling OFOs based on a forecast of market demand (“Forecast OFOs”) may not be precise enough.  Changes in end use markets that El Paso is unaware of might result in calling unnecessary OFOs or failing to call an OFO in a timely manner.  Establishing pre-arranged transactions that El Paso could invoke if needed (“Pre-arranged OFOs”) appears simpler from the pipeline’s point of view but may pose significant problems for shippers.  The same is true for the option of calling OFOs and expecting successful shipper responses during the same scheduling cycle (“Real-Time OFOs”).  These options would have to be discussed with the affected Group B shippers to identify a workable solution.  </w:t>
      </w:r>
    </w:p>
    <w:p>
      <w:pPr>
        <w:pStyle w:val="BodyText"/>
        <w:rPr>
          <w:rFonts w:ascii="Arial" w:hAnsi="Arial" w:cs="Arial"/>
        </w:rPr>
      </w:pPr>
      <w:r>
        <w:rPr>
          <w:rFonts w:cs="Arial" w:ascii="Arial" w:hAnsi="Arial"/>
        </w:rPr>
      </w:r>
    </w:p>
    <w:p>
      <w:pPr>
        <w:pStyle w:val="BodyText"/>
        <w:numPr>
          <w:ilvl w:val="0"/>
          <w:numId w:val="3"/>
        </w:numPr>
        <w:rPr>
          <w:rFonts w:ascii="Arial" w:hAnsi="Arial" w:cs="Arial"/>
        </w:rPr>
      </w:pPr>
      <w:r>
        <w:rPr>
          <w:rFonts w:cs="Arial" w:ascii="Arial" w:hAnsi="Arial"/>
        </w:rPr>
        <w:t xml:space="preserve">Rules will have to be established that define how the initiation and/or termination of OFOs are handled with respect to maintenance and force majeure events.  </w:t>
      </w:r>
    </w:p>
    <w:p>
      <w:pPr>
        <w:pStyle w:val="BodyText"/>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Because the imposition of a Carlton Resolution type OFO raises many difficult issues, an alternative approach may be more effective on the El Paso system.   First, as the response to Indicated Shippers Data Request No. 1 shows, the quantity of displacement capacity associated with the North-to-South Transfer issue is likely to be small.  Even that de minimus amount could be eliminated if more San Juan receipt rights were assigned to shippers with north system delivery points.  Second, because the Waha Bi-directional Interconnect Issue is traceable to a defined group of contracts with delivery rights at Waha, it may be more appropriate to simply impose a must-flow OFO on those contracts when displacement capacity is needed at that location.  Based on the receipt right allocations calculated as a part of Study 2, the shippers and volumes involved in this approach would be: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Shipper</w:t>
        <w:tab/>
        <w:tab/>
        <w:tab/>
        <w:t xml:space="preserve">Contract No. </w:t>
        <w:tab/>
        <w:tab/>
        <w:t xml:space="preserve">MMBtu/d  </w:t>
        <w:tab/>
        <w:t xml:space="preserve">End of </w:t>
      </w:r>
    </w:p>
    <w:p>
      <w:pPr>
        <w:pStyle w:val="Normal"/>
        <w:ind w:firstLine="720" w:start="5760" w:end="0"/>
        <w:jc w:val="both"/>
        <w:rPr>
          <w:rFonts w:ascii="Arial" w:hAnsi="Arial" w:cs="Arial"/>
        </w:rPr>
      </w:pPr>
      <w:r>
        <w:rPr>
          <w:rFonts w:cs="Arial" w:ascii="Arial" w:hAnsi="Arial"/>
        </w:rPr>
        <w:t>Primary Term</w:t>
      </w:r>
    </w:p>
    <w:p>
      <w:pPr>
        <w:pStyle w:val="Heading3"/>
        <w:ind w:hanging="0" w:start="0"/>
        <w:rPr/>
      </w:pPr>
      <w:r>
        <w:rPr/>
        <w:t>Single Basin (San Juan) Receipt Contracts</w:t>
      </w:r>
    </w:p>
    <w:p>
      <w:pPr>
        <w:pStyle w:val="Normal"/>
        <w:jc w:val="both"/>
        <w:rPr>
          <w:rFonts w:ascii="Arial" w:hAnsi="Arial" w:cs="Arial"/>
        </w:rPr>
      </w:pPr>
      <w:r>
        <w:rPr>
          <w:rFonts w:cs="Arial" w:ascii="Arial" w:hAnsi="Arial"/>
        </w:rPr>
        <w:t xml:space="preserve">BP Energy </w:t>
        <w:tab/>
        <w:tab/>
        <w:tab/>
        <w:t xml:space="preserve">97JB </w:t>
        <w:tab/>
        <w:tab/>
        <w:t xml:space="preserve">  </w:t>
        <w:tab/>
        <w:t xml:space="preserve">  26,393 </w:t>
        <w:tab/>
        <w:t>6/30/2002</w:t>
      </w:r>
      <w:r>
        <w:rPr>
          <w:rFonts w:cs="Arial" w:ascii="Arial" w:hAnsi="Arial"/>
          <w:b/>
          <w:bCs/>
          <w:vertAlign w:val="superscript"/>
        </w:rPr>
        <w:t>*</w:t>
      </w:r>
    </w:p>
    <w:p>
      <w:pPr>
        <w:pStyle w:val="Normal"/>
        <w:jc w:val="both"/>
        <w:rPr>
          <w:rFonts w:ascii="Arial" w:hAnsi="Arial" w:cs="Arial"/>
        </w:rPr>
      </w:pPr>
      <w:r>
        <w:rPr>
          <w:rFonts w:cs="Arial" w:ascii="Arial" w:hAnsi="Arial"/>
        </w:rPr>
        <w:t>Burlington Resources</w:t>
        <w:tab/>
        <w:t>97J4</w:t>
        <w:tab/>
        <w:tab/>
        <w:tab/>
        <w:t>219,945</w:t>
        <w:tab/>
        <w:t>6/30/2005</w:t>
      </w:r>
    </w:p>
    <w:p>
      <w:pPr>
        <w:pStyle w:val="Normal"/>
        <w:jc w:val="both"/>
        <w:rPr>
          <w:rFonts w:ascii="Arial" w:hAnsi="Arial" w:cs="Arial"/>
        </w:rPr>
      </w:pPr>
      <w:r>
        <w:rPr>
          <w:rFonts w:cs="Arial" w:ascii="Arial" w:hAnsi="Arial"/>
        </w:rPr>
      </w:r>
    </w:p>
    <w:p>
      <w:pPr>
        <w:pStyle w:val="Heading3"/>
        <w:ind w:hanging="0" w:start="0"/>
        <w:rPr/>
      </w:pPr>
      <w:r>
        <w:rPr/>
        <w:t>Havasu Contracts with System-Wide Receipt Rights</w:t>
      </w:r>
    </w:p>
    <w:p>
      <w:pPr>
        <w:pStyle w:val="Normal"/>
        <w:jc w:val="both"/>
        <w:rPr>
          <w:rFonts w:ascii="Arial" w:hAnsi="Arial" w:cs="Arial"/>
        </w:rPr>
      </w:pPr>
      <w:r>
        <w:rPr>
          <w:rFonts w:cs="Arial" w:ascii="Arial" w:hAnsi="Arial"/>
        </w:rPr>
        <w:t>BP Energy</w:t>
        <w:tab/>
        <w:tab/>
        <w:tab/>
        <w:t>9MRB</w:t>
        <w:tab/>
        <w:tab/>
        <w:tab/>
        <w:t xml:space="preserve">  25,575</w:t>
        <w:tab/>
        <w:t>4/30/2002</w:t>
      </w:r>
    </w:p>
    <w:p>
      <w:pPr>
        <w:pStyle w:val="Normal"/>
        <w:jc w:val="both"/>
        <w:rPr>
          <w:rFonts w:ascii="Arial" w:hAnsi="Arial" w:cs="Arial"/>
        </w:rPr>
      </w:pPr>
      <w:r>
        <w:rPr>
          <w:rFonts w:cs="Arial" w:ascii="Arial" w:hAnsi="Arial"/>
        </w:rPr>
        <w:t>PG&amp;E</w:t>
        <w:tab/>
        <w:tab/>
        <w:tab/>
        <w:tab/>
        <w:t>9E4T</w:t>
        <w:tab/>
        <w:tab/>
        <w:t xml:space="preserve"> </w:t>
        <w:tab/>
        <w:t xml:space="preserve">  25,575</w:t>
        <w:tab/>
        <w:t>4/30/2002</w:t>
      </w:r>
    </w:p>
    <w:p>
      <w:pPr>
        <w:pStyle w:val="Normal"/>
        <w:jc w:val="both"/>
        <w:rPr>
          <w:rFonts w:ascii="Arial" w:hAnsi="Arial" w:cs="Arial"/>
        </w:rPr>
      </w:pPr>
      <w:r>
        <w:rPr>
          <w:rFonts w:cs="Arial" w:ascii="Arial" w:hAnsi="Arial"/>
        </w:rPr>
        <w:t>Enron</w:t>
        <w:tab/>
        <w:tab/>
        <w:tab/>
        <w:tab/>
        <w:t>9E3X</w:t>
        <w:tab/>
        <w:tab/>
        <w:t xml:space="preserve"> </w:t>
        <w:tab/>
        <w:t xml:space="preserve">  16,495</w:t>
        <w:tab/>
        <w:t>4/30/2002</w:t>
      </w:r>
    </w:p>
    <w:p>
      <w:pPr>
        <w:pStyle w:val="Normal"/>
        <w:jc w:val="both"/>
        <w:rPr>
          <w:rFonts w:ascii="Arial" w:hAnsi="Arial" w:cs="Arial"/>
        </w:rPr>
      </w:pPr>
      <w:r>
        <w:rPr>
          <w:rFonts w:cs="Arial" w:ascii="Arial" w:hAnsi="Arial"/>
        </w:rPr>
        <w:t xml:space="preserve">Conoco </w:t>
        <w:tab/>
        <w:tab/>
        <w:tab/>
        <w:t>9DWE</w:t>
        <w:tab/>
        <w:tab/>
        <w:t xml:space="preserve"> </w:t>
        <w:tab/>
        <w:t xml:space="preserve">  46,035</w:t>
        <w:tab/>
        <w:t>4/30/2003</w:t>
      </w:r>
    </w:p>
    <w:p>
      <w:pPr>
        <w:pStyle w:val="Normal"/>
        <w:jc w:val="both"/>
        <w:rPr/>
      </w:pPr>
      <w:r>
        <w:rPr>
          <w:rFonts w:cs="Arial" w:ascii="Arial" w:hAnsi="Arial"/>
        </w:rPr>
        <w:t>OneOK</w:t>
        <w:tab/>
        <w:tab/>
        <w:tab/>
        <w:t>9DQH</w:t>
        <w:tab/>
        <w:tab/>
        <w:t xml:space="preserve"> </w:t>
        <w:tab/>
        <w:t xml:space="preserve">  50,000</w:t>
      </w:r>
      <w:r>
        <w:rPr>
          <w:rFonts w:cs="Arial" w:ascii="Arial" w:hAnsi="Arial"/>
          <w:b/>
          <w:bCs/>
          <w:vertAlign w:val="superscript"/>
        </w:rPr>
        <w:t>**</w:t>
      </w:r>
      <w:r>
        <w:rPr>
          <w:rFonts w:cs="Arial" w:ascii="Arial" w:hAnsi="Arial"/>
        </w:rPr>
        <w:tab/>
        <w:t>4/30/2007</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b/>
        <w:tab/>
        <w:tab/>
        <w:tab/>
        <w:tab/>
        <w:t>Total</w:t>
        <w:tab/>
        <w:t>410,018</w:t>
      </w:r>
    </w:p>
    <w:p>
      <w:pPr>
        <w:pStyle w:val="Normal"/>
        <w:ind w:hanging="360" w:start="360" w:end="0"/>
        <w:jc w:val="both"/>
        <w:rPr/>
      </w:pPr>
      <w:r>
        <w:rPr>
          <w:rFonts w:cs="Arial" w:ascii="Arial" w:hAnsi="Arial"/>
          <w:vertAlign w:val="superscript"/>
        </w:rPr>
        <w:t>*</w:t>
      </w:r>
      <w:r>
        <w:rPr>
          <w:rFonts w:cs="Arial" w:ascii="Arial" w:hAnsi="Arial"/>
        </w:rPr>
        <w:tab/>
        <w:t>Evergreen date</w:t>
      </w:r>
    </w:p>
    <w:p>
      <w:pPr>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720" w:bottom="1440"/>
          <w:pgNumType w:start="1" w:fmt="decimal"/>
          <w:formProt w:val="false"/>
          <w:titlePg/>
          <w:textDirection w:val="lrTb"/>
          <w:docGrid w:type="default" w:linePitch="360" w:charSpace="0"/>
        </w:sectPr>
        <w:pStyle w:val="Normal"/>
        <w:ind w:hanging="360" w:start="360" w:end="0"/>
        <w:jc w:val="both"/>
        <w:rPr>
          <w:rFonts w:ascii="Arial" w:hAnsi="Arial" w:cs="Arial"/>
          <w:vertAlign w:val="superscript"/>
        </w:rPr>
      </w:pPr>
      <w:r>
        <w:rPr>
          <w:rFonts w:cs="Arial" w:ascii="Arial" w:hAnsi="Arial"/>
          <w:vertAlign w:val="superscript"/>
        </w:rPr>
        <w:t>**</w:t>
        <w:tab/>
      </w:r>
      <w:r>
        <w:rPr>
          <w:rFonts w:cs="Arial" w:ascii="Arial" w:hAnsi="Arial"/>
        </w:rPr>
        <w:t>Shipper can reduce by a volume up to 25,000 MMBtu/d effective on or after 1/1/2003 if written notice is given on or before 10/01/2002.</w:t>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Heading2"/>
        <w:ind w:hanging="0" w:end="0"/>
        <w:rPr>
          <w:rFonts w:cs="Arial"/>
          <w:szCs w:val="26"/>
        </w:rPr>
      </w:pPr>
      <w:r>
        <w:rPr>
          <w:rFonts w:cs="Arial"/>
        </w:rPr>
        <w:t>Requests of Commission Staff</w:t>
      </w:r>
    </w:p>
    <w:p>
      <w:pPr>
        <w:pStyle w:val="Normal"/>
        <w:jc w:val="center"/>
        <w:rPr>
          <w:rFonts w:ascii="Arial" w:hAnsi="Arial" w:cs="Arial"/>
          <w:szCs w:val="26"/>
        </w:rPr>
      </w:pPr>
      <w:r>
        <w:rPr>
          <w:rFonts w:cs="Arial" w:ascii="Arial" w:hAnsi="Arial"/>
          <w:szCs w:val="26"/>
        </w:rPr>
        <w:t>(September 24, 2001)</w:t>
      </w:r>
    </w:p>
    <w:p>
      <w:pPr>
        <w:pStyle w:val="Normal"/>
        <w:jc w:val="both"/>
        <w:rPr>
          <w:rFonts w:ascii="Arial" w:hAnsi="Arial" w:cs="Arial"/>
          <w:szCs w:val="26"/>
        </w:rPr>
      </w:pPr>
      <w:r>
        <w:rPr>
          <w:rFonts w:cs="Arial" w:ascii="Arial" w:hAnsi="Arial"/>
          <w:szCs w:val="26"/>
        </w:rPr>
      </w:r>
    </w:p>
    <w:p>
      <w:pPr>
        <w:pStyle w:val="BodyText"/>
        <w:rPr/>
      </w:pPr>
      <w:r>
        <w:rPr>
          <w:rFonts w:cs="Arial" w:ascii="Arial" w:hAnsi="Arial"/>
          <w:u w:val="single"/>
        </w:rPr>
        <w:t>Request No. 5</w:t>
      </w:r>
      <w:r>
        <w:rPr>
          <w:rFonts w:cs="Arial" w:ascii="Arial" w:hAnsi="Arial"/>
        </w:rPr>
        <w:t>:</w:t>
        <w:tab/>
        <w:t xml:space="preserve">El Paso indicated the need for a compliance mechanism such as penalties or possibly reduced deliveries.  Provide a description of what type of mechanism El Paso believes would be necessary. </w:t>
      </w:r>
    </w:p>
    <w:p>
      <w:pPr>
        <w:pStyle w:val="Normal"/>
        <w:jc w:val="both"/>
        <w:rPr>
          <w:rFonts w:ascii="Arial" w:hAnsi="Arial" w:cs="Arial"/>
        </w:rPr>
      </w:pPr>
      <w:r>
        <w:rPr>
          <w:rFonts w:cs="Arial" w:ascii="Arial" w:hAnsi="Arial"/>
        </w:rPr>
      </w:r>
    </w:p>
    <w:p>
      <w:pPr>
        <w:pStyle w:val="Heading3"/>
        <w:ind w:hanging="0" w:start="0"/>
        <w:rPr/>
      </w:pPr>
      <w:r>
        <w:rPr/>
        <w:t>Response No. 5</w:t>
      </w:r>
      <w:r>
        <w:rPr>
          <w:u w:val="none"/>
        </w:rPr>
        <w:t>:</w:t>
        <w:tab/>
        <w:t>Generally, if a mechanism based on the Carlton Resolution is put in place on the El Paso system and the shippers who are paid to standby to provide displacement capacity fail to perform, they should be subject to a penalty similar to Northern’s $25/MMBtu penalty for quantities that are not scheduled as required.</w:t>
      </w:r>
      <w:r>
        <w:rPr/>
        <w:t xml:space="preserv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rPr>
          <w:rFonts w:ascii="Arial" w:hAnsi="Arial" w:cs="Arial"/>
          <w:sz w:val="24"/>
        </w:rPr>
      </w:pPr>
      <w:r>
        <w:rPr>
          <w:rFonts w:cs="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rPr>
      </w:pPr>
      <w:r>
        <w:rPr>
          <w:rFonts w:cs="Arial" w:ascii="Arial" w:hAnsi="Arial"/>
        </w:rPr>
      </w:r>
    </w:p>
    <w:sectPr>
      <w:headerReference w:type="default" r:id="rId18"/>
      <w:headerReference w:type="first" r:id="rId19"/>
      <w:footerReference w:type="default" r:id="rId20"/>
      <w:footerReference w:type="first" r:id="rId21"/>
      <w:footnotePr>
        <w:numFmt w:val="decimal"/>
      </w:footnotePr>
      <w:type w:val="nextPage"/>
      <w:pgSz w:w="12240" w:h="15840"/>
      <w:pgMar w:left="2160" w:right="1008" w:gutter="0" w:header="720" w:top="1440" w:footer="43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t>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footnoteRef/>
      </w:r>
      <w:r>
        <w:rPr>
          <w:rFonts w:cs="Arial" w:ascii="Arial" w:hAnsi="Arial"/>
        </w:rPr>
        <w:t xml:space="preserve"> </w:t>
      </w:r>
      <w:r>
        <w:rPr>
          <w:rFonts w:cs="Arial" w:ascii="Arial" w:hAnsi="Arial"/>
        </w:rPr>
        <w:tab/>
        <w:t xml:space="preserve">Three of El Paso's FR TSAs contain additional language in the note regarding the obligation to add </w:t>
      </w:r>
      <w:r>
        <w:rPr>
          <w:rFonts w:cs="Arial" w:ascii="Arial" w:hAnsi="Arial"/>
          <w:u w:val="single"/>
        </w:rPr>
        <w:t>new</w:t>
      </w:r>
      <w:r>
        <w:rPr>
          <w:rFonts w:cs="Arial" w:ascii="Arial" w:hAnsi="Arial"/>
        </w:rPr>
        <w:t xml:space="preserve"> delivery points under the contracts.  This data request focuses only on the obligation to deliver to </w:t>
      </w:r>
      <w:r>
        <w:rPr>
          <w:rFonts w:cs="Arial" w:ascii="Arial" w:hAnsi="Arial"/>
          <w:u w:val="single"/>
        </w:rPr>
        <w:t>existing</w:t>
      </w:r>
      <w:r>
        <w:rPr>
          <w:rFonts w:cs="Arial" w:ascii="Arial" w:hAnsi="Arial"/>
        </w:rPr>
        <w:t xml:space="preserve"> facilities.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numFmt w:val="lowerRoman"/>
      <w:lvlText w:val="%2)"/>
      <w:lvlJc w:val="start"/>
      <w:pPr>
        <w:tabs>
          <w:tab w:val="num" w:pos="108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paragraph" w:styleId="Heading2">
    <w:name w:val="heading 2"/>
    <w:basedOn w:val="Normal"/>
    <w:next w:val="Normal"/>
    <w:qFormat/>
    <w:pPr>
      <w:keepNext w:val="true"/>
      <w:numPr>
        <w:ilvl w:val="1"/>
        <w:numId w:val="1"/>
      </w:numPr>
      <w:ind w:firstLine="720" w:start="0" w:end="0"/>
      <w:jc w:val="center"/>
      <w:outlineLvl w:val="1"/>
    </w:pPr>
    <w:rPr>
      <w:rFonts w:ascii="Arial" w:hAnsi="Arial" w:cs="Arial"/>
      <w:u w:val="single"/>
    </w:rPr>
  </w:style>
  <w:style w:type="paragraph" w:styleId="Heading3">
    <w:name w:val="heading 3"/>
    <w:basedOn w:val="Normal"/>
    <w:next w:val="Normal"/>
    <w:qFormat/>
    <w:pPr>
      <w:keepNext w:val="true"/>
      <w:numPr>
        <w:ilvl w:val="2"/>
        <w:numId w:val="1"/>
      </w:numPr>
      <w:jc w:val="both"/>
      <w:outlineLvl w:val="2"/>
    </w:pPr>
    <w:rPr>
      <w:rFonts w:ascii="Arial" w:hAnsi="Arial" w:cs="Arial"/>
      <w:u w:val="single"/>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cs="Arial"/>
    </w:rPr>
  </w:style>
  <w:style w:type="paragraph" w:styleId="BodyTextIndent">
    <w:name w:val="Body Text Indent"/>
    <w:basedOn w:val="Normal"/>
    <w:pPr>
      <w:ind w:hanging="0" w:start="720" w:end="0"/>
    </w:pPr>
    <w:rPr/>
  </w:style>
  <w:style w:type="paragraph" w:styleId="BodyText2">
    <w:name w:val="Body Text 2"/>
    <w:basedOn w:val="Normal"/>
    <w:qFormat/>
    <w:pPr>
      <w:jc w:val="both"/>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image" Target="media/image1.wmf"/><Relationship Id="rId12" Type="http://schemas.openxmlformats.org/officeDocument/2006/relationships/image" Target="media/image2.wmf"/><Relationship Id="rId13" Type="http://schemas.openxmlformats.org/officeDocument/2006/relationships/image" Target="media/image3.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2001-08-13T20:40:00Z</dcterms:created>
  <dc:creator>El Paso Energy Corp</dc:creator>
  <dc:description/>
  <dc:language>en-CA</dc:language>
  <cp:lastModifiedBy>Richard Derryberry</cp:lastModifiedBy>
  <cp:lastPrinted>2001-09-24T18:17:00Z</cp:lastPrinted>
  <dcterms:modified xsi:type="dcterms:W3CDTF">2001-09-24T21:48:00Z</dcterms:modified>
  <cp:revision>63</cp:revision>
  <dc:subject/>
  <dc:title>Addressee’s name</dc:title>
</cp:coreProperties>
</file>