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rPr/>
      </w:pPr>
      <w:r>
        <w:rPr/>
        <w:t>outline structure of prefferred electricity Trading Arrangements</w:t>
      </w:r>
    </w:p>
    <w:p>
      <w:pPr>
        <w:pStyle w:val="Heading"/>
        <w:rPr>
          <w:caps w:val="false"/>
          <w:smallCaps w:val="false"/>
        </w:rPr>
      </w:pPr>
      <w:r>
        <w:rPr>
          <w:caps w:val="false"/>
          <w:smallCaps w:val="false"/>
        </w:rPr>
        <w:t>Enron Europe Limited</w:t>
      </w:r>
    </w:p>
    <w:p>
      <w:pPr>
        <w:pStyle w:val="Heading"/>
        <w:rPr>
          <w:caps w:val="false"/>
          <w:smallCaps w:val="false"/>
        </w:rPr>
      </w:pPr>
      <w:r>
        <w:rPr>
          <w:caps w:val="false"/>
          <w:smallCaps w:val="false"/>
        </w:rPr>
        <w:t>July 1998</w:t>
      </w:r>
    </w:p>
    <w:p>
      <w:pPr>
        <w:pStyle w:val="Normal"/>
        <w:rPr>
          <w:caps/>
        </w:rPr>
      </w:pPr>
      <w:r>
        <w:rPr>
          <w:caps/>
        </w:rPr>
      </w:r>
    </w:p>
    <w:p>
      <w:pPr>
        <w:pStyle w:val="Normal"/>
        <w:rPr/>
      </w:pPr>
      <w:r>
        <w:rPr/>
        <w:t>This note describes the competitive and efficient market conditions that allow companies like Enron to trade electricity.  While Enron could still trade if these conditions are not met, their absence makes a market less attractive in comparison with other, more liberalised markets.  We are glad to see that many of these issues have been reviewed during Russia’s on-going electricity sector reform efforts.  Enron will continue to follow this process with interest and we look forward to participating fully in the Russian electricity market in the future.</w:t>
      </w:r>
    </w:p>
    <w:p>
      <w:pPr>
        <w:pStyle w:val="Normal"/>
        <w:rPr/>
      </w:pPr>
      <w:r>
        <w:rPr/>
      </w:r>
    </w:p>
    <w:p>
      <w:pPr>
        <w:pStyle w:val="Normal"/>
        <w:rPr/>
      </w:pPr>
      <w:r>
        <w:rPr/>
        <w:t xml:space="preserve">Overall, we would argue that the key to an efficient electricity market is competition.  The industry structure must permit competition between many generators and retailers and the owners of the remaining natural monopoly structures (transmission, distribution and dispatch) must not be allowed to prevent it.  Regulation can help to foster competition, but cannot substitute for it.  Regulators should strive to create an environment that encourages firms to compete, rather than trying to force them to compete if the market framework does not provide incentives to do so.  If the incentives are there, competition will happen by itself.  Where competition is not possible, as with transmission and distribution, effective regulation will be essential to ensuring efficiency. </w:t>
      </w:r>
    </w:p>
    <w:p>
      <w:pPr>
        <w:pStyle w:val="Normal"/>
        <w:rPr/>
      </w:pPr>
      <w:r>
        <w:rPr/>
      </w:r>
    </w:p>
    <w:p>
      <w:pPr>
        <w:pStyle w:val="Normal"/>
        <w:rPr/>
      </w:pPr>
      <w:r>
        <w:rPr/>
        <w:t>We organise our comments below under two main headings “market structure” and “wholesale electricity trading”.  In the first section, we focus on the fundamental structure of an efficient electricity market.  In section 2, we move on to discuss the way in which electricity is traded in wholesale markets in more detail.</w:t>
      </w:r>
    </w:p>
    <w:p>
      <w:pPr>
        <w:pStyle w:val="Normal"/>
        <w:rPr/>
      </w:pPr>
      <w:r>
        <w:rPr/>
      </w:r>
    </w:p>
    <w:p>
      <w:pPr>
        <w:pStyle w:val="Normal"/>
        <w:rPr>
          <w:b/>
          <w:sz w:val="28"/>
        </w:rPr>
      </w:pPr>
      <w:r>
        <w:rPr>
          <w:b/>
          <w:sz w:val="28"/>
        </w:rPr>
        <w:t>1.</w:t>
        <w:tab/>
        <w:t>Market Structure</w:t>
      </w:r>
    </w:p>
    <w:p>
      <w:pPr>
        <w:pStyle w:val="Normal"/>
        <w:rPr>
          <w:b/>
          <w:sz w:val="28"/>
        </w:rPr>
      </w:pPr>
      <w:r>
        <w:rPr>
          <w:b/>
          <w:sz w:val="28"/>
        </w:rPr>
      </w:r>
    </w:p>
    <w:p>
      <w:pPr>
        <w:pStyle w:val="Normal"/>
        <w:rPr/>
      </w:pPr>
      <w:r>
        <w:rPr/>
        <w:t>The underlying market structure is crucial to the development of an efficient electricity sector.  As we expand upon below, the ideal market structure is one where generators compete rigorously to supply retailers or other consumers who have a direct interest in seeking out the cheapest source of electricity.  For this competition to work it is also essential that the merchant activities of buying and selling electricity are clearly divided from the monopoly activities of delivering electricity on transmission and distribution wires.</w:t>
      </w:r>
    </w:p>
    <w:p>
      <w:pPr>
        <w:pStyle w:val="Heading2"/>
        <w:ind w:hanging="0" w:start="0"/>
        <w:rPr/>
      </w:pPr>
      <w:r>
        <w:rPr/>
        <w:t>Competition in Generation</w:t>
      </w:r>
    </w:p>
    <w:p>
      <w:pPr>
        <w:pStyle w:val="Normal"/>
        <w:rPr/>
      </w:pPr>
      <w:r>
        <w:rPr/>
      </w:r>
    </w:p>
    <w:p>
      <w:pPr>
        <w:pStyle w:val="Normal"/>
        <w:rPr/>
      </w:pPr>
      <w:r>
        <w:rPr/>
        <w:t>The starting point for an efficient electricity market is effective competition between generators.  Generators should have the incentives to compete rigorously to produce electricity at the lowest cost both in the short-run and long-run.  For competition to work, several different generating companies should compete on an equal footing in all parts of the market.</w:t>
      </w:r>
    </w:p>
    <w:p>
      <w:pPr>
        <w:pStyle w:val="Normal"/>
        <w:rPr/>
      </w:pPr>
      <w:r>
        <w:rPr/>
      </w:r>
    </w:p>
    <w:p>
      <w:pPr>
        <w:pStyle w:val="Normal"/>
        <w:rPr/>
      </w:pPr>
      <w:r>
        <w:rPr/>
        <w:t>This means that no single generator (or small group of generators) should be able to exert monopoly power over prices either at particular times of the day or year or in particular locations.  In practice, different types of generation (whether baseload, mid-merit or peak) should be therefore distributed among several different generating companies.  For example, one of the biggest problems Enron has faced in England and Wales is the fact that three generators can manipulate market prices because they own all of the flexible coal plant.</w:t>
      </w:r>
    </w:p>
    <w:p>
      <w:pPr>
        <w:pStyle w:val="Normal"/>
        <w:rPr>
          <w:rFonts w:eastAsia="Book Antiqua"/>
        </w:rPr>
      </w:pPr>
      <w:r>
        <w:rPr>
          <w:rFonts w:eastAsia="Book Antiqua"/>
        </w:rPr>
        <w:t xml:space="preserve"> </w:t>
      </w:r>
    </w:p>
    <w:p>
      <w:pPr>
        <w:pStyle w:val="Normal"/>
        <w:rPr/>
      </w:pPr>
      <w:r>
        <w:rPr/>
        <w:t xml:space="preserve">Transmission constraints on large interconnected systems can also limit the extent to which generators in one location can compete with generators in another location.  It is therefore important to ensure that generating capacity is distributed among several owners across significant portions of a transmission system.  Experience suggests that at least five generators </w:t>
      </w:r>
      <w:r>
        <w:rPr>
          <w:rStyle w:val="CommentReference"/>
          <w:vanish w:val="false"/>
        </w:rPr>
        <w:commentReference w:id="0"/>
      </w:r>
      <w:r>
        <w:rPr/>
        <w:t>are typically required to make a “market” suitably competitive either in particular regions or for supplies at particular times (eg, at the winter peak).  Obviously, the desirable number of generators in any one zone will depend on the physical size of the zone and its load characteristics.</w:t>
      </w:r>
    </w:p>
    <w:p>
      <w:pPr>
        <w:pStyle w:val="Normal"/>
        <w:rPr/>
      </w:pPr>
      <w:r>
        <w:rPr/>
      </w:r>
    </w:p>
    <w:p>
      <w:pPr>
        <w:pStyle w:val="Normal"/>
        <w:rPr/>
      </w:pPr>
      <w:r>
        <w:rPr/>
        <w:t>In the medium to long term, it is important to ensure that there are no impediments to new generators entering the market or to existing generators exiting the market if it proves to be unprofitable.  This ensures that there will be ongoing competition and sustainable market prices over time.</w:t>
      </w:r>
    </w:p>
    <w:p>
      <w:pPr>
        <w:pStyle w:val="Normal"/>
        <w:rPr/>
      </w:pPr>
      <w:r>
        <w:rPr/>
      </w:r>
    </w:p>
    <w:p>
      <w:pPr>
        <w:pStyle w:val="Normal"/>
        <w:rPr>
          <w:b/>
          <w:sz w:val="24"/>
        </w:rPr>
      </w:pPr>
      <w:r>
        <w:rPr>
          <w:b/>
          <w:sz w:val="24"/>
        </w:rPr>
        <w:t>1.2</w:t>
        <w:tab/>
        <w:t>Competition in Power Marketing</w:t>
      </w:r>
    </w:p>
    <w:p>
      <w:pPr>
        <w:pStyle w:val="Normal"/>
        <w:rPr>
          <w:b/>
          <w:sz w:val="24"/>
        </w:rPr>
      </w:pPr>
      <w:r>
        <w:rPr>
          <w:b/>
          <w:sz w:val="24"/>
        </w:rPr>
      </w:r>
    </w:p>
    <w:p>
      <w:pPr>
        <w:pStyle w:val="Normal"/>
        <w:rPr/>
      </w:pPr>
      <w:r>
        <w:rPr/>
        <w:t>To mirror competition on the generation side, retailers (ie, those selling to final consumers) should also have incentives to ensure that they procure electricity as cheaply as possible for consumers.  The best way to achieve this is by allowing all final consumers to choose among competing retailers.  Retailers could be the generators themselves or separate entities that specialise in marketing, customer service and sales.  Since generators are not necessarily well equipped to manage sales and marketing, it is desirable to enable specialised entities to realise this function.  As with all other products, allowing consumers a choice of retailer provides incentives for retailers to buy their electricity at least cost and to provide the consumer with tariff structures which meet the consumer’s needs.  Some larger consumers may also decide to buy their electricity direct from generators.</w:t>
      </w:r>
    </w:p>
    <w:p>
      <w:pPr>
        <w:pStyle w:val="Normal"/>
        <w:rPr/>
      </w:pPr>
      <w:r>
        <w:rPr/>
      </w:r>
    </w:p>
    <w:p>
      <w:pPr>
        <w:pStyle w:val="Normal"/>
        <w:tabs>
          <w:tab w:val="clear" w:pos="720"/>
          <w:tab w:val="left" w:pos="360" w:leader="none"/>
        </w:tabs>
        <w:rPr/>
      </w:pPr>
      <w:r>
        <w:rPr/>
        <w:t>In moving to a fully competitive market, choice is initially often only allowed for some of the largest consumers (and gradually introduced to smaller and smaller consumers).  While the transition is underway, smaller consumers may have to continue buying from a local monopoly.  However, effective regulation can still ensure that local monopolies have incentives to buy electricity for their consumers’ from the cheapest source until full competition is in place.</w:t>
      </w:r>
    </w:p>
    <w:p>
      <w:pPr>
        <w:pStyle w:val="Heading2"/>
        <w:numPr>
          <w:ilvl w:val="1"/>
          <w:numId w:val="5"/>
        </w:numPr>
        <w:rPr/>
      </w:pPr>
      <w:r>
        <w:rPr/>
        <w:t>Separation of Merchant and Delivery Functions</w:t>
      </w:r>
    </w:p>
    <w:p>
      <w:pPr>
        <w:pStyle w:val="Normal"/>
        <w:keepNext w:val="true"/>
        <w:rPr/>
      </w:pPr>
      <w:r>
        <w:rPr/>
      </w:r>
    </w:p>
    <w:p>
      <w:pPr>
        <w:pStyle w:val="Normal"/>
        <w:rPr/>
      </w:pPr>
      <w:r>
        <w:rPr/>
        <w:t>To ensure the success of competition in the electricity market, a clear separation is required between the competitive “merchant” activities of buying and selling electricity and the “natural monopoly” functions of:</w:t>
      </w:r>
    </w:p>
    <w:p>
      <w:pPr>
        <w:pStyle w:val="Normal"/>
        <w:rPr/>
      </w:pPr>
      <w:r>
        <w:rPr/>
      </w:r>
    </w:p>
    <w:p>
      <w:pPr>
        <w:pStyle w:val="Normal"/>
        <w:numPr>
          <w:ilvl w:val="0"/>
          <w:numId w:val="4"/>
        </w:numPr>
        <w:tabs>
          <w:tab w:val="clear" w:pos="720"/>
          <w:tab w:val="left" w:pos="360" w:leader="none"/>
        </w:tabs>
        <w:rPr/>
      </w:pPr>
      <w:r>
        <w:rPr/>
        <w:t>delivering electricity through transmission and distribution wires;</w:t>
      </w:r>
    </w:p>
    <w:p>
      <w:pPr>
        <w:pStyle w:val="Normal"/>
        <w:numPr>
          <w:ilvl w:val="0"/>
          <w:numId w:val="4"/>
        </w:numPr>
        <w:tabs>
          <w:tab w:val="clear" w:pos="720"/>
          <w:tab w:val="left" w:pos="360" w:leader="none"/>
        </w:tabs>
        <w:rPr/>
      </w:pPr>
      <w:r>
        <w:rPr/>
        <w:t>system operation (ie, dispatch); and</w:t>
      </w:r>
    </w:p>
    <w:p>
      <w:pPr>
        <w:pStyle w:val="Normal"/>
        <w:numPr>
          <w:ilvl w:val="0"/>
          <w:numId w:val="4"/>
        </w:numPr>
        <w:tabs>
          <w:tab w:val="clear" w:pos="720"/>
          <w:tab w:val="left" w:pos="360" w:leader="none"/>
        </w:tabs>
        <w:rPr/>
      </w:pPr>
      <w:r>
        <w:rPr/>
        <w:t>operation of the balancing market (required to ensure that no participant can take more electricity than they have contracts for, as discussed further below).</w:t>
      </w:r>
    </w:p>
    <w:p>
      <w:pPr>
        <w:pStyle w:val="Normal"/>
        <w:rPr/>
      </w:pPr>
      <w:r>
        <w:rPr/>
      </w:r>
    </w:p>
    <w:p>
      <w:pPr>
        <w:pStyle w:val="Normal"/>
        <w:rPr/>
      </w:pPr>
      <w:r>
        <w:rPr/>
        <w:t>A failure to clearly separate the competitive and monopoly functions (ideally in separate companies) raises the possibility of discrimination against independent merchants who want access to the delivery infrastructure and essential market mechanisms owned by their competitors.  This conflict of interest undermines competition and therefore prevents the realisation of the many efficiency benefits competition can bring.</w:t>
      </w:r>
    </w:p>
    <w:p>
      <w:pPr>
        <w:pStyle w:val="Heading2"/>
        <w:ind w:hanging="0" w:start="0"/>
        <w:rPr/>
      </w:pPr>
      <w:r>
        <w:rPr/>
        <w:t>Effective regulation of delivery networks is required</w:t>
      </w:r>
    </w:p>
    <w:p>
      <w:pPr>
        <w:pStyle w:val="Normal"/>
        <w:rPr/>
      </w:pPr>
      <w:r>
        <w:rPr/>
      </w:r>
    </w:p>
    <w:p>
      <w:pPr>
        <w:pStyle w:val="Normal"/>
        <w:numPr>
          <w:ilvl w:val="0"/>
          <w:numId w:val="0"/>
        </w:numPr>
        <w:ind w:hanging="0" w:start="0"/>
        <w:rPr/>
      </w:pPr>
      <w:r>
        <w:rPr/>
        <w:t>For the monopoly delivery networks, competition cannot ensure low prices and high levels of service.  Regulation therefore has to substitute for competition in ensuring the transmission and distribution companies provide efficient levels of service at appropriate rates.  For transmission and distribution companies to maintain an appropriate level of service and provide equal access to all generators and buyers, it is imperative that there be an incentive for them to do so.  The process for regulating transmission tariffs costs should therefore aim to:</w:t>
      </w:r>
    </w:p>
    <w:p>
      <w:pPr>
        <w:pStyle w:val="EndnoteText"/>
        <w:tabs>
          <w:tab w:val="clear" w:pos="720"/>
          <w:tab w:val="left" w:pos="360" w:leader="none"/>
        </w:tabs>
        <w:rPr/>
      </w:pPr>
      <w:r>
        <w:rPr/>
      </w:r>
    </w:p>
    <w:p>
      <w:pPr>
        <w:pStyle w:val="Normal"/>
        <w:numPr>
          <w:ilvl w:val="0"/>
          <w:numId w:val="4"/>
        </w:numPr>
        <w:tabs>
          <w:tab w:val="clear" w:pos="720"/>
          <w:tab w:val="left" w:pos="360" w:leader="none"/>
        </w:tabs>
        <w:rPr/>
      </w:pPr>
      <w:r>
        <w:rPr/>
        <w:t>remunerate grid companies for the sunk costs of the current grid;</w:t>
      </w:r>
    </w:p>
    <w:p>
      <w:pPr>
        <w:pStyle w:val="Normal"/>
        <w:numPr>
          <w:ilvl w:val="0"/>
          <w:numId w:val="4"/>
        </w:numPr>
        <w:tabs>
          <w:tab w:val="clear" w:pos="720"/>
          <w:tab w:val="left" w:pos="360" w:leader="none"/>
        </w:tabs>
        <w:rPr/>
      </w:pPr>
      <w:r>
        <w:rPr/>
        <w:t>provide incentives to grid companies to maintain existing and invest in new transmission facilities as appropriate; and</w:t>
      </w:r>
    </w:p>
    <w:p>
      <w:pPr>
        <w:pStyle w:val="Normal"/>
        <w:numPr>
          <w:ilvl w:val="0"/>
          <w:numId w:val="4"/>
        </w:numPr>
        <w:tabs>
          <w:tab w:val="clear" w:pos="720"/>
          <w:tab w:val="left" w:pos="360" w:leader="none"/>
        </w:tabs>
        <w:rPr/>
      </w:pPr>
      <w:r>
        <w:rPr/>
        <w:t xml:space="preserve">provide incentives for the grid companies to operate their systems efficiently. </w:t>
      </w:r>
    </w:p>
    <w:p>
      <w:pPr>
        <w:pStyle w:val="Normal"/>
        <w:rPr/>
      </w:pPr>
      <w:r>
        <w:rPr/>
      </w:r>
    </w:p>
    <w:p>
      <w:pPr>
        <w:pStyle w:val="Normal"/>
        <w:rPr/>
      </w:pPr>
      <w:r>
        <w:rPr/>
        <w:t>Regulation should also aim to ensure that grid companies view all potential users of grid services equally, on the basis of economic considerations only.  Similar incentives should be provided to support the entities managing dispatch and balancing market functions, again, to ensure transparency of dispatch decisions and ensure equal treatment for all market participants.</w:t>
      </w:r>
    </w:p>
    <w:p>
      <w:pPr>
        <w:pStyle w:val="Heading1"/>
        <w:ind w:hanging="0" w:start="0"/>
        <w:rPr>
          <w:lang w:val="en-US"/>
        </w:rPr>
      </w:pPr>
      <w:r>
        <w:rPr>
          <w:lang w:val="en-US"/>
        </w:rPr>
        <w:t>Wholesale Electricity Trading Arrangements</w:t>
      </w:r>
    </w:p>
    <w:p>
      <w:pPr>
        <w:pStyle w:val="Normal"/>
        <w:rPr>
          <w:lang w:val="en-US"/>
        </w:rPr>
      </w:pPr>
      <w:r>
        <w:rPr>
          <w:lang w:val="en-US"/>
        </w:rPr>
      </w:r>
    </w:p>
    <w:p>
      <w:pPr>
        <w:pStyle w:val="Normal"/>
        <w:rPr/>
      </w:pPr>
      <w:r>
        <w:rPr/>
        <w:t>By introducing competition where possible, and allowing that competition to work, the above industry structure should deliver efficient and reliable electricity supplies.  In similar structures in Norway, England and Wales and a growing number of other countries, generators, retailers, large consumers and traders (such as Enron) buy and sell electricity as a commodity.  As in any other market, competition ensures that these participants seek out the best deals in terms of price and service quality in the “market”.  In this section we discuss in slightly more detail the nature of this market and the arrangements for trading electricity.</w:t>
      </w:r>
    </w:p>
    <w:p>
      <w:pPr>
        <w:pStyle w:val="Normal"/>
        <w:rPr/>
      </w:pPr>
      <w:r>
        <w:rPr/>
      </w:r>
    </w:p>
    <w:p>
      <w:pPr>
        <w:pStyle w:val="Normal"/>
        <w:rPr/>
      </w:pPr>
      <w:r>
        <w:rPr/>
        <w:t>Much has been written about the relative merits of different forms of electricity trading arrangements such as those in Norway, England and Wales, California etc.  (We attach to this note two documents written by the regulator in the UK, OFFER, which describes the arrangements in various different competitive electricity markets.)  However, the many different arrangements all share three core features:</w:t>
      </w:r>
    </w:p>
    <w:p>
      <w:pPr>
        <w:pStyle w:val="Normal"/>
        <w:rPr/>
      </w:pPr>
      <w:r>
        <w:rPr/>
      </w:r>
    </w:p>
    <w:p>
      <w:pPr>
        <w:pStyle w:val="Normal"/>
        <w:numPr>
          <w:ilvl w:val="0"/>
          <w:numId w:val="3"/>
        </w:numPr>
        <w:rPr/>
      </w:pPr>
      <w:r>
        <w:rPr/>
        <w:t>forward markets where market participants reduce their risks by buying and selling quantities of electricity in advance at fixed prices rather than relying on volatile short-term prices;</w:t>
      </w:r>
    </w:p>
    <w:p>
      <w:pPr>
        <w:pStyle w:val="Normal"/>
        <w:numPr>
          <w:ilvl w:val="0"/>
          <w:numId w:val="3"/>
        </w:numPr>
        <w:rPr/>
      </w:pPr>
      <w:r>
        <w:rPr/>
        <w:t>a spot market which allows market participants to buy or sell additional amounts of electricity in the short-term (eg, a day in advance of delivery); and</w:t>
      </w:r>
    </w:p>
    <w:p>
      <w:pPr>
        <w:pStyle w:val="Normal"/>
        <w:numPr>
          <w:ilvl w:val="0"/>
          <w:numId w:val="3"/>
        </w:numPr>
        <w:rPr/>
      </w:pPr>
      <w:r>
        <w:rPr/>
        <w:t>a balancing market which supports system operation and reconciles the amounts actually delivered or received by market participants to the amounts that they have contracted for (ie, paid for).</w:t>
      </w:r>
    </w:p>
    <w:p>
      <w:pPr>
        <w:pStyle w:val="Normal"/>
        <w:rPr/>
      </w:pPr>
      <w:r>
        <w:rPr/>
      </w:r>
    </w:p>
    <w:p>
      <w:pPr>
        <w:pStyle w:val="Normal"/>
        <w:rPr/>
      </w:pPr>
      <w:r>
        <w:rPr/>
        <w:t>We examine each of these markets in more detail below.</w:t>
      </w:r>
    </w:p>
    <w:p>
      <w:pPr>
        <w:pStyle w:val="Heading2"/>
        <w:ind w:hanging="0" w:start="0"/>
        <w:rPr/>
      </w:pPr>
      <w:r>
        <w:rPr/>
        <w:t>Forward markets and risk management</w:t>
      </w:r>
    </w:p>
    <w:p>
      <w:pPr>
        <w:pStyle w:val="Heading3"/>
        <w:ind w:hanging="0" w:start="0"/>
        <w:rPr/>
      </w:pPr>
      <w:r>
        <w:rPr/>
        <w:t>The need to manage risk</w:t>
      </w:r>
    </w:p>
    <w:p>
      <w:pPr>
        <w:pStyle w:val="Normal"/>
        <w:rPr/>
      </w:pPr>
      <w:r>
        <w:rPr/>
      </w:r>
    </w:p>
    <w:p>
      <w:pPr>
        <w:pStyle w:val="Normal"/>
        <w:rPr/>
      </w:pPr>
      <w:r>
        <w:rPr/>
        <w:t xml:space="preserve">In competitive market economies short-run electricity prices are inherently volatile.  The costs of fuel can change daily, levels of demand fluctuate dramatically over the day and there is no guarantee that particular generating units will be available.  Moreover, unlike other commodity markets the supply and demand for electricity must balance on a second-to-second basis: electricity cannot typically be stored now for use later.  All of these fundamental factors means that the </w:t>
      </w:r>
      <w:r>
        <w:rPr>
          <w:i/>
        </w:rPr>
        <w:t xml:space="preserve">marginal cost </w:t>
      </w:r>
      <w:r>
        <w:rPr/>
        <w:t>of satisfying electricity demand varies continuously throughout the day.  In competitive markets, price levels reflect marginal costs: if prices exceed marginal cost more should be produced; if they are lower than marginal cost, less should be produced.  It follows that in competitive electricity markets, the price for electricity in the short run not only varies throughout the day, but can do so dramatically.  At the time of writing, the short-term price for electricity in England and Wales is £23.91/MWh (at 11:30 am), whereas at 15:00 this afternoon the price will be £98.31/MWh.  (The record level was recorded for one half-hour in 1995, when prices reached £1108/MWh.)</w:t>
      </w:r>
    </w:p>
    <w:p>
      <w:pPr>
        <w:pStyle w:val="Normal"/>
        <w:rPr/>
      </w:pPr>
      <w:r>
        <w:rPr/>
      </w:r>
    </w:p>
    <w:p>
      <w:pPr>
        <w:pStyle w:val="Normal"/>
        <w:rPr/>
      </w:pPr>
      <w:r>
        <w:rPr/>
        <w:t>This price volatility is very risky for market participants.  A participant who only bought electricity in short-term markets would face significant cash flow variations.  In turn this would result in extremely high – and possibly prohibitive - financing costs for that company.</w:t>
      </w:r>
    </w:p>
    <w:p>
      <w:pPr>
        <w:pStyle w:val="Normal"/>
        <w:rPr/>
      </w:pPr>
      <w:r>
        <w:rPr/>
      </w:r>
    </w:p>
    <w:p>
      <w:pPr>
        <w:pStyle w:val="Normal"/>
        <w:rPr/>
      </w:pPr>
      <w:r>
        <w:rPr/>
      </w:r>
    </w:p>
    <w:p>
      <w:pPr>
        <w:pStyle w:val="Heading3"/>
        <w:ind w:hanging="0" w:start="0"/>
        <w:rPr/>
      </w:pPr>
      <w:r>
        <w:rPr/>
        <w:t>Market participants manage risk with forward contracts</w:t>
      </w:r>
    </w:p>
    <w:p>
      <w:pPr>
        <w:pStyle w:val="Normal"/>
        <w:rPr/>
      </w:pPr>
      <w:r>
        <w:rPr/>
      </w:r>
    </w:p>
    <w:p>
      <w:pPr>
        <w:pStyle w:val="Normal"/>
        <w:rPr/>
      </w:pPr>
      <w:r>
        <w:rPr/>
        <w:t>Most market participants choose to avoid bearing such risk by contracting for electricity in advance, ie, buying power with “forward contracts”.  Forward contracts vary widely in duration.  In the United Kingdom, for example, contract durations range from a month or two through to 15 years for some power purchase agreements</w:t>
      </w:r>
      <w:r>
        <w:rPr>
          <w:rStyle w:val="CommentReference"/>
          <w:vanish/>
        </w:rPr>
        <w:t xml:space="preserve"> </w:t>
      </w:r>
      <w:r>
        <w:rPr>
          <w:rStyle w:val="CommentReference"/>
          <w:vanish w:val="false"/>
        </w:rPr>
        <w:commentReference w:id="1"/>
      </w:r>
      <w:r>
        <w:rPr/>
        <w:t xml:space="preserve">.  As in other commodity markets, market participants can use a wide range of contracts to manage their exposure to volatile market prices or significant variations in their likely volumes.  Forward contract prices will reflect the markets’ </w:t>
      </w:r>
      <w:r>
        <w:rPr>
          <w:i/>
        </w:rPr>
        <w:t>expectations</w:t>
      </w:r>
      <w:r>
        <w:rPr/>
        <w:t xml:space="preserve"> about the likely level of short-run prices in the future.  In reality, electricity delivered under contract may sometimes cost more and sometimes less than the short-term market prices at the time of delivery.  The certainty that advance contracting brings allows customers to make investment and other financial decisions with greater certainty, which in turn helps them to reduce the costs of financing their activities.</w:t>
      </w:r>
    </w:p>
    <w:p>
      <w:pPr>
        <w:pStyle w:val="Normal"/>
        <w:rPr/>
      </w:pPr>
      <w:r>
        <w:rPr/>
      </w:r>
    </w:p>
    <w:p>
      <w:pPr>
        <w:pStyle w:val="Normal"/>
        <w:rPr/>
      </w:pPr>
      <w:r>
        <w:rPr/>
        <w:t>Once competition has been introduced, there should be no constraints on the form or duration of the contracts struck between market participants: the incentives provided by c</w:t>
      </w:r>
      <w:r>
        <w:rPr>
          <w:rStyle w:val="CommentReference"/>
          <w:vanish w:val="false"/>
        </w:rPr>
        <w:commentReference w:id="2"/>
      </w:r>
      <w:r>
        <w:rPr/>
        <w:t>ompetition ensure that market participants adopt the most efficient methods for buying and selling electricity.</w:t>
      </w:r>
    </w:p>
    <w:p>
      <w:pPr>
        <w:pStyle w:val="Heading3"/>
        <w:ind w:hanging="0" w:start="0"/>
        <w:rPr/>
      </w:pPr>
      <w:r>
        <w:rPr/>
        <w:t>The role of independent wholesale merchants</w:t>
      </w:r>
    </w:p>
    <w:p>
      <w:pPr>
        <w:pStyle w:val="Normal"/>
        <w:rPr/>
      </w:pPr>
      <w:r>
        <w:rPr/>
      </w:r>
    </w:p>
    <w:p>
      <w:pPr>
        <w:pStyle w:val="Normal"/>
        <w:rPr/>
      </w:pPr>
      <w:r>
        <w:rPr/>
        <w:t>Brokers and independent wholesale merchants (“traders” such as Enron) can improve the efficiency of contract markets, reducing the costs of contracting and providing lower costs and more efficient risk management products to consumers.</w:t>
      </w:r>
    </w:p>
    <w:p>
      <w:pPr>
        <w:pStyle w:val="Normal"/>
        <w:rPr/>
      </w:pPr>
      <w:r>
        <w:rPr/>
      </w:r>
    </w:p>
    <w:p>
      <w:pPr>
        <w:pStyle w:val="Normal"/>
        <w:tabs>
          <w:tab w:val="clear" w:pos="720"/>
          <w:tab w:val="left" w:pos="360" w:leader="none"/>
        </w:tabs>
        <w:rPr/>
      </w:pPr>
      <w:r>
        <w:rPr/>
        <w:t>Brokers act as agents for buyers and sellers by searching for appropriate counterparties to contract trades.  They help to reduce the costs of contracting by acting as a focus for market information on who is prepared to sell what, when and at what price.  In this way, buyers get matched more easily (and cheaply) to sellers.  The broker will earn a small commission for performing this service.</w:t>
      </w:r>
    </w:p>
    <w:p>
      <w:pPr>
        <w:pStyle w:val="Normal"/>
        <w:tabs>
          <w:tab w:val="clear" w:pos="720"/>
          <w:tab w:val="left" w:pos="360" w:leader="none"/>
        </w:tabs>
        <w:rPr/>
      </w:pPr>
      <w:r>
        <w:rPr/>
      </w:r>
    </w:p>
    <w:p>
      <w:pPr>
        <w:pStyle w:val="Normal"/>
        <w:rPr/>
      </w:pPr>
      <w:r>
        <w:rPr/>
        <w:t xml:space="preserve">The role of independent traders is much more complex.  Independent traders buy and sell electricity in their own right.  The role is similar to that of a wholesaler in other markets: </w:t>
      </w:r>
      <w:r>
        <w:rPr>
          <w:i/>
        </w:rPr>
        <w:t>aggregating</w:t>
      </w:r>
      <w:r>
        <w:rPr/>
        <w:t xml:space="preserve"> electricity from several different production sources and </w:t>
      </w:r>
      <w:r>
        <w:rPr>
          <w:i/>
        </w:rPr>
        <w:t xml:space="preserve">repackaging </w:t>
      </w:r>
      <w:r>
        <w:rPr/>
        <w:t>the electricity in a form that retailers and larger consumers want to buy.  For instance, a single generator cannot guarantee that its plant will be available to generate in two months time.  However, a factory wants to fix the price for power in September in advance and to guarantee delivery of that power.  The needs of the factory and generator do not line up, making it unlikely that they will sign a contract.  However, the trader can buy power from several generators on an as-available basis, repackage that power and supply customers with guaranteed power at a fixed price – even if one of the generators with which it contracts is in fact unavailable at that particular point in time.</w:t>
      </w:r>
    </w:p>
    <w:p>
      <w:pPr>
        <w:pStyle w:val="Normal"/>
        <w:rPr>
          <w:rFonts w:eastAsia="Book Antiqua"/>
        </w:rPr>
      </w:pPr>
      <w:r>
        <w:rPr>
          <w:rFonts w:eastAsia="Book Antiqua"/>
        </w:rPr>
        <w:t xml:space="preserve"> </w:t>
      </w:r>
    </w:p>
    <w:p>
      <w:pPr>
        <w:pStyle w:val="Normal"/>
        <w:rPr/>
      </w:pPr>
      <w:r>
        <w:rPr/>
        <w:t xml:space="preserve">Another customer – for example an aluminium producer - may face serious risks associated with the </w:t>
      </w:r>
      <w:r>
        <w:rPr>
          <w:i/>
        </w:rPr>
        <w:t xml:space="preserve">difference </w:t>
      </w:r>
      <w:r>
        <w:rPr/>
        <w:t>between the electricity price and the price of its product.  The trader can solve this problem by supplying the consumer with electricity at a price indexed to the market price of aluminium, thereby protecting the consumer’s profits by preserving the margin between electricity costs and the price of aluminium sold.</w:t>
      </w:r>
    </w:p>
    <w:p>
      <w:pPr>
        <w:pStyle w:val="Normal"/>
        <w:rPr/>
      </w:pPr>
      <w:r>
        <w:rPr/>
      </w:r>
    </w:p>
    <w:p>
      <w:pPr>
        <w:pStyle w:val="Normal"/>
        <w:tabs>
          <w:tab w:val="clear" w:pos="720"/>
          <w:tab w:val="left" w:pos="360" w:leader="none"/>
        </w:tabs>
        <w:rPr/>
      </w:pPr>
      <w:r>
        <w:rPr/>
        <w:t xml:space="preserve">In the process of meeting their customers’ needs, independent merchants assume and manage significant risks.  For example, in converting the as-available output from a generator into a guaranteed delivery to a consumer, the trader exposes himself to having to buy in power from other generators in short-term markets to ensure that the customer still gets served should the first generator break down.  </w:t>
      </w:r>
    </w:p>
    <w:p>
      <w:pPr>
        <w:pStyle w:val="Normal"/>
        <w:tabs>
          <w:tab w:val="clear" w:pos="720"/>
          <w:tab w:val="left" w:pos="360" w:leader="none"/>
        </w:tabs>
        <w:rPr/>
      </w:pPr>
      <w:r>
        <w:rPr/>
      </w:r>
    </w:p>
    <w:p>
      <w:pPr>
        <w:pStyle w:val="Normal"/>
        <w:tabs>
          <w:tab w:val="clear" w:pos="720"/>
          <w:tab w:val="left" w:pos="360" w:leader="none"/>
        </w:tabs>
        <w:rPr/>
      </w:pPr>
      <w:r>
        <w:rPr/>
        <w:t xml:space="preserve">While traders earn money on the difference between what they buy and sell electricity at, their presence still </w:t>
      </w:r>
      <w:r>
        <w:rPr>
          <w:u w:val="single"/>
        </w:rPr>
        <w:t>reduces</w:t>
      </w:r>
      <w:r>
        <w:rPr/>
        <w:t xml:space="preserve"> the cost of buying and selling power.  The inherent risks in the market must be borne by someone, and generators, retailers and consumers will not bear these risks without being adequately paid for doing so.  Because traders </w:t>
      </w:r>
      <w:r>
        <w:rPr>
          <w:i/>
        </w:rPr>
        <w:t xml:space="preserve">specialise </w:t>
      </w:r>
      <w:r>
        <w:rPr/>
        <w:t xml:space="preserve">in managing risk, they can typically bear risks more cheaply than other sector participants.  In competitive electricity markets, generators, retailers and consumers have strong incentives to reduce their costs.  If traders do not help generators, retailers and reduce their costs they earn nothing: the existence of independent wholesale merchants in competitive markets is therefore a sign that they are adding value – by reducing costs – for other market participants. </w:t>
      </w:r>
    </w:p>
    <w:p>
      <w:pPr>
        <w:pStyle w:val="Heading2"/>
        <w:ind w:hanging="0" w:start="0"/>
        <w:rPr/>
      </w:pPr>
      <w:r>
        <w:rPr/>
        <w:t>Short-term markets</w:t>
      </w:r>
    </w:p>
    <w:p>
      <w:pPr>
        <w:pStyle w:val="Normal"/>
        <w:ind w:start="51" w:end="0"/>
        <w:rPr/>
      </w:pPr>
      <w:r>
        <w:rPr/>
      </w:r>
    </w:p>
    <w:p>
      <w:pPr>
        <w:pStyle w:val="Normal"/>
        <w:rPr/>
      </w:pPr>
      <w:r>
        <w:rPr/>
        <w:t>Many electricity markets incorporate a centralised mechanism for trading electricity in the short-term (eg, at the day-ahead stage down to several hours prior to delivery).  There are many different ways of organising such a short-term market, but the main purpose is to allow market participants to buy and sell electricity to adjust their contractual positions to meet their planned requirements on the following day.</w:t>
      </w:r>
    </w:p>
    <w:p>
      <w:pPr>
        <w:pStyle w:val="Normal"/>
        <w:rPr/>
      </w:pPr>
      <w:r>
        <w:rPr/>
      </w:r>
    </w:p>
    <w:p>
      <w:pPr>
        <w:pStyle w:val="Normal"/>
        <w:rPr/>
      </w:pPr>
      <w:r>
        <w:rPr/>
        <w:t>For example, some markets incorporate a day-ahead auction where market participants submit offers to sell and bids to buy electricity for delivery on the following day.  Other markets may be organised continuously, with offers and bids posted on computer “bulletin boards” allowing markets participants to see the source and prices for buying and selling power to reduce potential surpluses and deficits on the following day.</w:t>
      </w:r>
    </w:p>
    <w:p>
      <w:pPr>
        <w:pStyle w:val="Normal"/>
        <w:rPr/>
      </w:pPr>
      <w:r>
        <w:rPr/>
      </w:r>
    </w:p>
    <w:p>
      <w:pPr>
        <w:pStyle w:val="Normal"/>
        <w:rPr/>
      </w:pPr>
      <w:r>
        <w:rPr/>
        <w:t>As with forward markets more generally, there is no need for regulators and governments to design and implement these short-term markets.  These short-term markets will emerge to meet market participants’ actual requirements naturally – as long as the regulatory environment enables them to do so.  Such markets are useful because they act as a “focus” for information on terms under which participants are willing to sell or buy additional electricity for delivery on the following day (or in the next hour or two).  This reduces the costs of buying and selling power in the short-term.  For example, a screen-based market would allow participants to identify the source and price of additional power immediately whereas without the screen they may have had to make a large number of telephone calls.</w:t>
      </w:r>
    </w:p>
    <w:p>
      <w:pPr>
        <w:pStyle w:val="Heading2"/>
        <w:ind w:hanging="0" w:start="0"/>
        <w:rPr/>
      </w:pPr>
      <w:r>
        <w:rPr/>
        <w:t>Reconciling contracted and actual deliveries: the balancing function</w:t>
      </w:r>
    </w:p>
    <w:p>
      <w:pPr>
        <w:pStyle w:val="Normal"/>
        <w:keepNext w:val="true"/>
        <w:rPr/>
      </w:pPr>
      <w:r>
        <w:rPr/>
      </w:r>
    </w:p>
    <w:p>
      <w:pPr>
        <w:pStyle w:val="Normal"/>
        <w:ind w:start="51" w:end="0"/>
        <w:rPr/>
      </w:pPr>
      <w:r>
        <w:rPr/>
        <w:t xml:space="preserve">In real time, supply must equal demand.  The system operator will need the ability to call on additional generation if demand exceeds supply and vice versa if generation needs to be backed down.  In competitive electricity markets, a “balancing market” supports system dispatch by providing market participants with </w:t>
      </w:r>
      <w:r>
        <w:rPr>
          <w:i/>
        </w:rPr>
        <w:t xml:space="preserve">market-based incentives </w:t>
      </w:r>
      <w:r>
        <w:rPr/>
        <w:t>to supply more power when required and less when not.  Market participants typically submit imbalance offers (to produce more or take less output) and imbalance bids (to take more or produce less).  The system operator then calls on these offers and bids in real-time as part of the dispatch process to meet short-term fluctuations in supply and demand.  The “balancing price” in each market period (usually an hour) is set by the marginal offer for imbalance power (if demand is greater than anticipated) and the marginal bid to buy imbalance power (if demand is less than anticipated).</w:t>
      </w:r>
    </w:p>
    <w:p>
      <w:pPr>
        <w:pStyle w:val="Normal"/>
        <w:rPr/>
      </w:pPr>
      <w:r>
        <w:rPr/>
      </w:r>
    </w:p>
    <w:p>
      <w:pPr>
        <w:pStyle w:val="Normal"/>
        <w:rPr/>
      </w:pPr>
      <w:r>
        <w:rPr/>
        <w:t xml:space="preserve">The balancing price also becomes the price at which market participants are required to settle differences between their contracted deliveries and their actual metered offtakes.  This process of reconciliation is </w:t>
      </w:r>
      <w:r>
        <w:rPr>
          <w:i/>
        </w:rPr>
        <w:t xml:space="preserve">essential </w:t>
      </w:r>
      <w:r>
        <w:rPr/>
        <w:t>to ensuring that all electricity flows are paid for: without such a system, market participants would be able to consumer electricity for no payment – which would completely undermine the market.  In this way, participants become responsible for “making good” deviations from their contracted volumes at the marginal cost of balancing the system.  (For example, a generator producing less than scheduled would have to “buy-in” power at the balancing price.)</w:t>
      </w:r>
    </w:p>
    <w:p>
      <w:pPr>
        <w:pStyle w:val="Normal"/>
        <w:rPr/>
      </w:pPr>
      <w:r>
        <w:rPr/>
      </w:r>
    </w:p>
    <w:p>
      <w:pPr>
        <w:pStyle w:val="Normal"/>
        <w:rPr/>
      </w:pPr>
      <w:r>
        <w:rPr/>
        <w:t>An independent settlement agency would take responsibility for performing this reconciliation function.  The agency would be responsible for:</w:t>
      </w:r>
    </w:p>
    <w:p>
      <w:pPr>
        <w:pStyle w:val="Normal"/>
        <w:rPr/>
      </w:pPr>
      <w:r>
        <w:rPr/>
      </w:r>
    </w:p>
    <w:p>
      <w:pPr>
        <w:pStyle w:val="Normal"/>
        <w:numPr>
          <w:ilvl w:val="0"/>
          <w:numId w:val="2"/>
        </w:numPr>
        <w:rPr/>
      </w:pPr>
      <w:r>
        <w:rPr/>
        <w:t>collecting, aggregating and processing the relevant meter data;</w:t>
      </w:r>
    </w:p>
    <w:p>
      <w:pPr>
        <w:pStyle w:val="Normal"/>
        <w:numPr>
          <w:ilvl w:val="0"/>
          <w:numId w:val="2"/>
        </w:numPr>
        <w:rPr/>
      </w:pPr>
      <w:r>
        <w:rPr/>
        <w:t>collecting information on contracted deliveries for each market period (the operator does not need details of the contracts themselves just the volumes that participants have agreed to deliver to each other.  In this way participants signal that they have already paid for the contracted portion of their deliveries);</w:t>
      </w:r>
    </w:p>
    <w:p>
      <w:pPr>
        <w:pStyle w:val="Normal"/>
        <w:numPr>
          <w:ilvl w:val="0"/>
          <w:numId w:val="2"/>
        </w:numPr>
        <w:rPr/>
      </w:pPr>
      <w:r>
        <w:rPr/>
        <w:t>calculating the imbalances between contract and actual deliveries; and</w:t>
      </w:r>
    </w:p>
    <w:p>
      <w:pPr>
        <w:pStyle w:val="Normal"/>
        <w:numPr>
          <w:ilvl w:val="0"/>
          <w:numId w:val="2"/>
        </w:numPr>
        <w:rPr/>
      </w:pPr>
      <w:r>
        <w:rPr/>
        <w:t>billing and distributing funds between those who took more (delivered less) than contracted and those who  took less or delivered more than contracted.</w:t>
      </w:r>
    </w:p>
    <w:p>
      <w:pPr>
        <w:pStyle w:val="Heading1"/>
        <w:ind w:hanging="0" w:start="0"/>
        <w:rPr/>
      </w:pPr>
      <w:r>
        <w:rPr/>
        <w:t>Conclusion</w:t>
      </w:r>
    </w:p>
    <w:p>
      <w:pPr>
        <w:pStyle w:val="Normal"/>
        <w:rPr/>
      </w:pPr>
      <w:r>
        <w:rPr/>
      </w:r>
    </w:p>
    <w:p>
      <w:pPr>
        <w:pStyle w:val="Normal"/>
        <w:rPr/>
      </w:pPr>
      <w:commentRangeStart w:id="3"/>
      <w:r>
        <w:rPr/>
        <w:t xml:space="preserve">The above description has described the fundamental features that characterise efficient, competitive electricity markets.  However, such an overview cannot capture the finer details of many aspects of competitive electricity markets.  We would therefore be most happy to discuss particular aspects of this structure further and in detail, if this would be of interest or use.  </w:t>
      </w:r>
      <w:commentRangeEnd w:id="3"/>
      <w:r>
        <w:commentReference w:id="3"/>
      </w:r>
      <w:r>
        <w:rPr>
          <w:rStyle w:val="CommentReference"/>
          <w:vanish w:val="false"/>
        </w:rPr>
      </w:r>
    </w:p>
    <w:sectPr>
      <w:footerReference w:type="default" r:id="rId2"/>
      <w:type w:val="nextPage"/>
      <w:pgSz w:w="11906" w:h="16838"/>
      <w:pgMar w:left="1440" w:right="1440" w:gutter="0" w:header="0" w:top="1008" w:footer="706" w:bottom="135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gbull" w:date="0-00-00T00:00:00Z" w:initials="g">
    <w:p>
      <w:pPr>
        <w:overflowPunct w:val="false"/>
        <w:bidi w:val="0"/>
        <w:spacing w:lineRule="auto" w:line="269"/>
        <w:jc w:val="both"/>
        <w:rPr/>
      </w:pPr>
      <w:r>
        <w:annotationRef/>
      </w:r>
      <w:r>
        <w:rPr>
          <w:rFonts w:cs="DejaVu Sans" w:eastAsia="DejaVu Sans" w:ascii="Liberation Serif" w:hAnsi="Liberation Serif"/>
          <w:kern w:val="0"/>
          <w:sz w:val="24"/>
          <w:szCs w:val="24"/>
          <w:lang w:bidi="en-US" w:eastAsia="en-US" w:val="en-US"/>
        </w:rPr>
      </w:r>
    </w:p>
  </w:comment>
  <w:comment w:id="1" w:author="gbull" w:date="0-00-00T00:00:00Z" w:initials="g">
    <w:p>
      <w:pPr>
        <w:overflowPunct w:val="false"/>
        <w:bidi w:val="0"/>
        <w:spacing w:lineRule="auto" w:line="269"/>
        <w:jc w:val="both"/>
        <w:rPr/>
      </w:pPr>
      <w:r>
        <w:annotationRef/>
      </w:r>
      <w:r>
        <w:rPr>
          <w:rFonts w:cs="DejaVu Sans" w:eastAsia="DejaVu Sans" w:ascii="Liberation Serif" w:hAnsi="Liberation Serif"/>
          <w:kern w:val="0"/>
          <w:sz w:val="24"/>
          <w:szCs w:val="24"/>
          <w:lang w:bidi="en-US" w:eastAsia="en-US" w:val="en-US"/>
        </w:rPr>
      </w:r>
    </w:p>
  </w:comment>
  <w:comment w:id="2" w:author="gbull" w:date="0-00-00T00:00:00Z" w:initials="g">
    <w:p>
      <w:pPr>
        <w:overflowPunct w:val="false"/>
        <w:bidi w:val="0"/>
        <w:spacing w:lineRule="auto" w:line="269"/>
        <w:jc w:val="both"/>
        <w:rPr/>
      </w:pPr>
      <w:r>
        <w:annotationRef/>
      </w:r>
      <w:r>
        <w:rPr>
          <w:rFonts w:cs="DejaVu Sans" w:eastAsia="DejaVu Sans" w:ascii="Liberation Serif" w:hAnsi="Liberation Serif"/>
          <w:kern w:val="0"/>
          <w:sz w:val="24"/>
          <w:szCs w:val="24"/>
          <w:lang w:bidi="en-US" w:eastAsia="en-US" w:val="en-US"/>
        </w:rPr>
      </w:r>
    </w:p>
  </w:comment>
  <w:comment w:id="3" w:author="gbull" w:date="0-00-00T00:00:00Z" w:initials="g">
    <w:p>
      <w:pPr>
        <w:overflowPunct w:val="false"/>
        <w:bidi w:val="0"/>
        <w:spacing w:lineRule="auto" w:line="269"/>
        <w:jc w:val="both"/>
        <w:rPr/>
      </w:pPr>
      <w:r>
        <w:annotationRef/>
      </w:r>
      <w:r>
        <w:rPr>
          <w:rFonts w:cs="DejaVu Sans" w:eastAsia="DejaVu Sans" w:ascii="Liberation Serif" w:hAnsi="Liberation Serif"/>
          <w:kern w:val="0"/>
          <w:sz w:val="24"/>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7048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445.7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432"/>
        </w:tabs>
        <w:ind w:start="432" w:hanging="432"/>
      </w:pPr>
    </w:lvl>
    <w:lvl w:ilvl="1">
      <w:start w:val="3"/>
      <w:numFmt w:val="decimal"/>
      <w:lvlText w:val="%1.%2"/>
      <w:lvlJc w:val="start"/>
      <w:pPr>
        <w:tabs>
          <w:tab w:val="num" w:pos="576"/>
        </w:tabs>
        <w:ind w:start="576" w:hanging="576"/>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69"/>
      <w:jc w:val="both"/>
    </w:pPr>
    <w:rPr>
      <w:rFonts w:ascii="Book Antiqua" w:hAnsi="Book Antiqua" w:eastAsia="Times New Roman" w:cs="Book Antiqua"/>
      <w:color w:val="auto"/>
      <w:kern w:val="2"/>
      <w:sz w:val="22"/>
      <w:szCs w:val="20"/>
      <w:lang w:val="en-GB"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sz w:val="24"/>
    </w:rPr>
  </w:style>
  <w:style w:type="paragraph" w:styleId="Heading3">
    <w:name w:val="heading 3"/>
    <w:basedOn w:val="Heading2"/>
    <w:next w:val="Normal"/>
    <w:qFormat/>
    <w:pPr>
      <w:numPr>
        <w:ilvl w:val="2"/>
        <w:numId w:val="1"/>
      </w:numPr>
      <w:outlineLvl w:val="2"/>
    </w:pPr>
    <w:rPr>
      <w:b w:val="false"/>
      <w:i/>
      <w:lang w:val="en-US"/>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b/>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Book Antiqua" w:hAnsi="Book Antiqua" w:cs="Book Antiqua"/>
      <w:b/>
      <w:sz w:val="22"/>
    </w:rPr>
  </w:style>
  <w:style w:type="character" w:styleId="CommentReference">
    <w:name w:val="Comment Reference"/>
    <w:basedOn w:val="DefaultParagraphFont"/>
    <w:qFormat/>
    <w:rPr>
      <w:rFonts w:ascii="Book Antiqua" w:hAnsi="Book Antiqua" w:cs="Book Antiqua"/>
      <w:sz w:val="16"/>
    </w:rPr>
  </w:style>
  <w:style w:type="character" w:styleId="EndnoteCharacters">
    <w:name w:val="Endnote Characters"/>
    <w:basedOn w:val="DefaultParagraphFont"/>
    <w:qFormat/>
    <w:rPr>
      <w:rFonts w:ascii="Book Antiqua" w:hAnsi="Book Antiqua" w:cs="Book Antiqua"/>
      <w:vertAlign w:val="superscript"/>
    </w:rPr>
  </w:style>
  <w:style w:type="character" w:styleId="FootnoteCharacters">
    <w:name w:val="Footnote Characters"/>
    <w:basedOn w:val="DefaultParagraphFont"/>
    <w:qFormat/>
    <w:rPr>
      <w:rFonts w:ascii="Book Antiqua" w:hAnsi="Book Antiqua" w:cs="Book Antiqua"/>
      <w:vertAlign w:val="superscript"/>
    </w:rPr>
  </w:style>
  <w:style w:type="paragraph" w:styleId="Heading">
    <w:name w:val="Heading"/>
    <w:basedOn w:val="Normal"/>
    <w:next w:val="BodyText"/>
    <w:qFormat/>
    <w:pPr>
      <w:spacing w:lineRule="auto" w:line="240" w:before="240" w:after="60"/>
      <w:jc w:val="center"/>
    </w:pPr>
    <w:rPr>
      <w:b/>
      <w:caps/>
      <w:kern w:val="2"/>
      <w:sz w:val="28"/>
    </w:rPr>
  </w:style>
  <w:style w:type="paragraph" w:styleId="BodyText">
    <w:name w:val="Body Text"/>
    <w:basedOn w:val="Normal"/>
    <w:pPr/>
    <w:rPr>
      <w:i/>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18"/>
    </w:rPr>
  </w:style>
  <w:style w:type="paragraph" w:styleId="EndnoteText">
    <w:name w:val="endnote text"/>
    <w:basedOn w:val="Normal"/>
    <w:pPr/>
    <w:rPr/>
  </w:style>
  <w:style w:type="paragraph" w:styleId="CommentText">
    <w:name w:val="Comment Text"/>
    <w:basedOn w:val="Normal"/>
    <w:qFormat/>
    <w:pPr/>
    <w:rPr/>
  </w:style>
  <w:style w:type="paragraph" w:styleId="TOAHeading">
    <w:name w:val="TOA Heading"/>
    <w:basedOn w:val="Heading"/>
    <w:next w:val="Normal"/>
    <w:qFormat/>
    <w:pPr>
      <w:spacing w:before="120" w:after="60"/>
    </w:pPr>
    <w:rPr/>
  </w:style>
  <w:style w:type="paragraph" w:styleId="Subtitle-paul">
    <w:name w:val="Subtitle-paul"/>
    <w:basedOn w:val="Heading"/>
    <w:qFormat/>
    <w:pPr/>
    <w:rPr>
      <w:i/>
      <w:caps w:val="false"/>
      <w:smallCaps w:val="fals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spacing w:lineRule="auto" w:line="240"/>
    </w:pPr>
    <w:rPr>
      <w:kern w:val="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1998-07-13T06:22:00Z</dcterms:created>
  <dc:creator>Paul Dawson</dc:creator>
  <dc:description/>
  <dc:language>en-CA</dc:language>
  <cp:lastModifiedBy>Paul Dawson</cp:lastModifiedBy>
  <cp:lastPrinted>1998-07-10T14:57:00Z</cp:lastPrinted>
  <dcterms:modified xsi:type="dcterms:W3CDTF">1998-07-13T06:24:00Z</dcterms:modified>
  <cp:revision>4</cp:revision>
  <dc:subject/>
  <dc:title>PROPOSED STRUCTURE OF TRADING ARRANGEMENTS FOR ENGLAND AND WALES</dc:title>
</cp:coreProperties>
</file>