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pPr>
            <w:bookmarkStart w:id="0" w:name="to"/>
            <w:bookmarkEnd w:id="0"/>
            <w:r>
              <w:rPr/>
              <w:t>Keith Petersen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pPr>
            <w:r>
              <w:rPr/>
              <w:t>Josie Call</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pPr>
            <w:bookmarkStart w:id="1" w:name="From"/>
            <w:bookmarkEnd w:id="1"/>
            <w:r>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pPr>
            <w:bookmarkStart w:id="2" w:name="Subject"/>
            <w:bookmarkEnd w:id="2"/>
            <w:r>
              <w:rPr/>
              <w:t>Certificate Status Report</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pPr>
            <w:r>
              <w:rPr/>
              <w:t>February 12,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four (4)</w:t>
      </w:r>
      <w:r>
        <w:rPr>
          <w:sz w:val="22"/>
        </w:rPr>
        <w:t xml:space="preserve">project(s) and Transwestern has </w:t>
      </w:r>
      <w:r>
        <w:rPr>
          <w:b/>
          <w:sz w:val="22"/>
        </w:rPr>
        <w:t>no</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January 4, 2001,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McCarty</w:t>
        <w:tab/>
        <w:tab/>
        <w:t>Houston</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Nelson</w:t>
        <w:tab/>
        <w:tab/>
        <w:t>Omaha</w:t>
        <w:tab/>
        <w:tab/>
        <w:tab/>
        <w:tab/>
        <w:t>J. Shafer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Fossum</w:t>
        <w:tab/>
        <w:tab/>
        <w:t>Omaha</w:t>
        <w:tab/>
        <w:tab/>
        <w:tab/>
        <w:tab/>
        <w:t>J. White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P. Lowry</w:t>
        <w:tab/>
        <w:tab/>
        <w:tab/>
        <w:t>Houston</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S. Corman</w:t>
        <w:tab/>
        <w:tab/>
        <w:t>Houston</w:t>
        <w:tab/>
        <w:tab/>
        <w:tab/>
        <w:tab/>
        <w:t>B. Fowler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R. Hayslett</w:t>
        <w:tab/>
        <w:tab/>
        <w:t>Houston</w:t>
        <w:tab/>
        <w:tab/>
        <w:tab/>
        <w:tab/>
        <w:t xml:space="preserve">R. Rice </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All Marketing Account Managers:</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Omaha, Houston &amp; Minneapolis</w:t>
        <w:tab/>
        <w:tab/>
        <w:tab/>
        <w:tab/>
        <w:t>Certificate Department Staff</w:t>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Dornan</w:t>
        <w:tab/>
        <w:tab/>
        <w:t xml:space="preserve">Omaha </w:t>
        <w:tab/>
        <w:tab/>
        <w:tab/>
        <w:tab/>
        <w:t>B. Chandler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Talcott</w:t>
        <w:tab/>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Scott</w:t>
        <w:tab/>
        <w:tab/>
        <w:tab/>
        <w:t xml:space="preserve">Houston </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G. Zahn</w:t>
        <w:tab/>
        <w:tab/>
        <w:tab/>
        <w:t xml:space="preserve">Houston </w:t>
        <w:tab/>
        <w:tab/>
        <w:tab/>
        <w:tab/>
        <w:t>D. Clements</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Pavlou</w:t>
        <w:tab/>
        <w:tab/>
        <w:t xml:space="preserve">Omaha </w:t>
        <w:tab/>
        <w:tab/>
        <w:tab/>
        <w:tab/>
        <w:t>L. Soldano</w:t>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Huber</w:t>
        <w:tab/>
        <w:tab/>
        <w:tab/>
        <w:t>Houston</w:t>
        <w:tab/>
        <w:tab/>
        <w:tab/>
        <w:tab/>
        <w:t>K. Wilkie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Ritchey</w:t>
        <w:tab/>
        <w:tab/>
        <w:t>Omaha</w:t>
        <w:tab/>
        <w:tab/>
        <w:tab/>
        <w:tab/>
        <w:t>D. Waymire</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Bonnstetter</w:t>
        <w:tab/>
        <w:tab/>
        <w:t>Omaha</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January</w:t>
        <w:tab/>
        <w:tab/>
        <w:t xml:space="preserve">Houston </w:t>
        <w:tab/>
        <w:tab/>
        <w:tab/>
        <w:tab/>
        <w:t>T. Kissner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G. Spevak</w:t>
        <w:tab/>
        <w:tab/>
        <w:t>Omaha</w:t>
        <w:tab/>
        <w:tab/>
        <w:tab/>
        <w:tab/>
        <w:t xml:space="preserve">M. McGillivray </w:t>
        <w:tab/>
        <w:tab/>
        <w:t>Redfield</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Trevino</w:t>
        <w:tab/>
        <w:tab/>
        <w:t xml:space="preserve">Houston </w:t>
        <w:tab/>
        <w:tab/>
        <w:tab/>
        <w:tab/>
        <w:t>T. Halpin</w:t>
        <w:tab/>
        <w:tab/>
        <w:tab/>
        <w:t xml:space="preserve">Omaha </w:t>
        <w:tab/>
        <w:tab/>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Jolly</w:t>
        <w:tab/>
        <w:tab/>
        <w:tab/>
        <w:t>Albuquerque</w:t>
        <w:tab/>
        <w:tab/>
        <w:tab/>
        <w:t>R. Wilson</w:t>
        <w:tab/>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K. Earl</w:t>
        <w:tab/>
        <w:t xml:space="preserve"> </w:t>
        <w:tab/>
        <w:tab/>
        <w:t>Amarillo</w:t>
        <w:tab/>
        <w:tab/>
        <w:tab/>
        <w:tab/>
        <w:t>T. Mertz</w:t>
        <w:tab/>
        <w:tab/>
        <w:tab/>
        <w:t xml:space="preserve">Beatrice Region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Galassini</w:t>
        <w:tab/>
        <w:tab/>
        <w:t>Houston</w:t>
        <w:tab/>
        <w:tab/>
        <w:tab/>
        <w:tab/>
        <w:t>T. Gilbert</w:t>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Smith</w:t>
        <w:tab/>
        <w:tab/>
        <w:tab/>
        <w:t>Omaha</w:t>
        <w:tab/>
        <w:tab/>
        <w:tab/>
        <w:tab/>
        <w:t>M. Adelmann</w:t>
        <w:tab/>
        <w:tab/>
        <w:t xml:space="preserve">Minneapolis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Odneal</w:t>
        <w:tab/>
        <w:tab/>
        <w:t>Hugoton Region</w:t>
        <w:tab/>
        <w:tab/>
        <w:tab/>
        <w:t>R. Matthews</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Trayer</w:t>
        <w:tab/>
        <w:tab/>
        <w:tab/>
        <w:t>Omaha</w:t>
        <w:tab/>
        <w:tab/>
        <w:tab/>
        <w:tab/>
        <w:t>G. Cade</w:t>
        <w:tab/>
        <w:tab/>
        <w:tab/>
        <w:t xml:space="preserve">Omaha </w:t>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M. Underwood</w:t>
        <w:tab/>
        <w:tab/>
        <w:t>Minneapolis</w:t>
        <w:tab/>
        <w:tab/>
        <w:tab/>
        <w:t>D. Sinclair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C. Graham</w:t>
        <w:tab/>
        <w:tab/>
        <w:t>Omaha</w:t>
        <w:tab/>
        <w:tab/>
        <w:tab/>
        <w:tab/>
        <w:t>J. Butler</w:t>
        <w:tab/>
        <w:tab/>
        <w:tab/>
        <w:t>Houston</w:t>
      </w:r>
    </w:p>
    <w:p>
      <w:pPr>
        <w:pStyle w:val="Heading4"/>
        <w:rPr/>
      </w:pPr>
      <w:r>
        <w:rPr/>
        <w:t>S. Thomas</w:t>
        <w:tab/>
        <w:tab/>
        <w:t>Omaha</w:t>
        <w:tab/>
        <w:tab/>
        <w:tab/>
        <w:tab/>
        <w:t>Nancy Bagot</w:t>
        <w:tab/>
        <w:tab/>
        <w:t>Washington, DC</w:t>
      </w:r>
    </w:p>
    <w:p>
      <w:pPr>
        <w:pStyle w:val="Normal"/>
        <w:rPr/>
      </w:pPr>
      <w:r>
        <w:rPr/>
        <w:tab/>
        <w:t xml:space="preserve">          </w:t>
      </w:r>
      <w:r>
        <w:rPr>
          <w:b/>
          <w:sz w:val="17"/>
        </w:rPr>
        <w:t>S. Clark</w:t>
        <w:tab/>
        <w:tab/>
        <w:t xml:space="preserve">            Midland</w:t>
        <w:tab/>
        <w:tab/>
        <w:tab/>
        <w:t xml:space="preserve">           M. VanNorden</w:t>
        <w:tab/>
        <w:t xml:space="preserve">            Washington, DC</w:t>
      </w:r>
    </w:p>
    <w:p>
      <w:pPr>
        <w:pStyle w:val="Normal"/>
        <w:rPr>
          <w:b/>
          <w:sz w:val="17"/>
        </w:rPr>
      </w:pPr>
      <w:r>
        <w:rPr>
          <w:b/>
          <w:sz w:val="17"/>
        </w:rPr>
        <w:tab/>
        <w:t xml:space="preserve">           S. Herber</w:t>
        <w:tab/>
        <w:tab/>
        <w:t xml:space="preserve">            Houston</w:t>
      </w:r>
    </w:p>
    <w:p>
      <w:pPr>
        <w:pStyle w:val="Normal"/>
        <w:rPr>
          <w:b/>
          <w:sz w:val="17"/>
        </w:rPr>
      </w:pPr>
      <w:r>
        <w:rPr>
          <w:b/>
          <w:sz w:val="17"/>
        </w:rPr>
        <w:tab/>
        <w:t xml:space="preserve">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b/>
          <w:sz w:val="12"/>
        </w:rPr>
      </w:pPr>
      <w:r>
        <w:rPr>
          <w:b/>
          <w:sz w:val="12"/>
        </w:rPr>
        <w:t>STATUS.DOC</w:t>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t xml:space="preserve">                                                                                                                                                                                                                                                                                                                                                                                                                                                                       </w:t>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 w:hAnsi="Courier" w:cs="Courier"/>
          <w:caps w:val="false"/>
          <w:smallCaps w:val="false"/>
          <w:sz w:val="28"/>
        </w:rPr>
      </w:pPr>
      <w:r>
        <w:rPr>
          <w:caps w:val="false"/>
          <w:smallCaps w:val="false"/>
          <w:sz w:val="28"/>
        </w:rPr>
        <w:t>TABLE OF CONTENTS</w:t>
      </w:r>
    </w:p>
    <w:p>
      <w:pPr>
        <w:pStyle w:val="TOC1"/>
        <w:jc w:val="end"/>
        <w:rPr>
          <w:rFonts w:ascii="Courier" w:hAnsi="Courier" w:cs="Courier"/>
          <w:b w:val="false"/>
          <w:caps w:val="false"/>
          <w:smallCaps w:val="false"/>
          <w:sz w:val="19"/>
        </w:rPr>
      </w:pPr>
      <w:r>
        <w:rPr>
          <w:rFonts w:cs="Courier" w:ascii="Courier" w:hAnsi="Courier"/>
          <w:b w:val="false"/>
          <w:caps w:val="false"/>
          <w:smallCaps w:val="false"/>
          <w:sz w:val="19"/>
        </w:rPr>
        <w:t>PAGE NO.</w:t>
      </w:r>
    </w:p>
    <w:sdt>
      <w:sdtPr>
        <w:docPartObj>
          <w:docPartGallery w:val="Table of Contents"/>
          <w:docPartUnique w:val="true"/>
        </w:docPartObj>
      </w:sdtPr>
      <w:sdtContent>
        <w:p>
          <w:pPr>
            <w:pStyle w:val="TOC1"/>
            <w:rPr>
              <w:b w:val="false"/>
              <w:lang w:val="en-CA" w:eastAsia="en-CA"/>
            </w:rPr>
          </w:pPr>
          <w:r>
            <w:fldChar w:fldCharType="begin"/>
          </w:r>
          <w:r>
            <w:rPr>
              <w:b w:val="false"/>
              <w:lang w:val="en-CA" w:eastAsia="en-CA"/>
            </w:rPr>
            <w:instrText xml:space="preserve"> TOC \o "1-3" </w:instrText>
          </w:r>
          <w:r>
            <w:rPr>
              <w:b w:val="false"/>
              <w:lang w:val="en-CA" w:eastAsia="en-CA"/>
            </w:rPr>
            <w:fldChar w:fldCharType="separate"/>
          </w:r>
          <w:r>
            <w:rPr>
              <w:b w:val="false"/>
              <w:lang w:val="en-CA" w:eastAsia="en-CA"/>
            </w:rPr>
            <w:t>FERC AUTHORIZATION RECEIVED</w:t>
            <w:tab/>
          </w:r>
          <w:r>
            <w:fldChar w:fldCharType="begin"/>
          </w:r>
          <w:r>
            <w:rPr>
              <w:b w:val="false"/>
              <w:lang w:val="en-CA" w:eastAsia="en-CA"/>
            </w:rPr>
            <w:instrText xml:space="preserve"> GOTOBUTTON _Toc427576807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NEW APPLICATIONS FILED</w:t>
            <w:tab/>
          </w:r>
          <w:r>
            <w:fldChar w:fldCharType="begin"/>
          </w:r>
          <w:r>
            <w:rPr>
              <w:b w:val="false"/>
              <w:lang w:val="en-CA" w:eastAsia="en-CA"/>
            </w:rPr>
            <w:instrText xml:space="preserve"> GOTOBUTTON _Toc427576808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OTHER DISPOSITIONS OF PROJECTS</w:t>
            <w:tab/>
          </w:r>
          <w:r>
            <w:fldChar w:fldCharType="begin"/>
          </w:r>
          <w:r>
            <w:rPr>
              <w:b w:val="false"/>
              <w:lang w:val="en-CA" w:eastAsia="en-CA"/>
            </w:rPr>
            <w:instrText xml:space="preserve"> GOTOBUTTON _Toc427576809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REHEARING</w:t>
            <w:tab/>
          </w:r>
          <w:r>
            <w:fldChar w:fldCharType="begin"/>
          </w:r>
          <w:r>
            <w:rPr>
              <w:b w:val="false"/>
              <w:lang w:val="en-CA" w:eastAsia="en-CA"/>
            </w:rPr>
            <w:instrText xml:space="preserve"> GOTOBUTTON _Toc427576810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APPROVED WITH CONDITIONS</w:t>
            <w:tab/>
          </w:r>
          <w:r>
            <w:fldChar w:fldCharType="begin"/>
          </w:r>
          <w:r>
            <w:rPr>
              <w:b w:val="false"/>
              <w:lang w:val="en-CA" w:eastAsia="en-CA"/>
            </w:rPr>
            <w:instrText xml:space="preserve"> GOTOBUTTON _Toc427576811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FERC APPROVAL</w:t>
            <w:tab/>
          </w:r>
          <w:r>
            <w:fldChar w:fldCharType="begin"/>
          </w:r>
          <w:r>
            <w:rPr>
              <w:b w:val="false"/>
              <w:lang w:val="en-CA" w:eastAsia="en-CA"/>
            </w:rPr>
            <w:instrText xml:space="preserve"> GOTOBUTTON _Toc427576812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PROJECTS TO BE FILED</w:t>
            <w:tab/>
          </w:r>
          <w:r>
            <w:fldChar w:fldCharType="begin"/>
          </w:r>
          <w:r>
            <w:rPr>
              <w:b w:val="false"/>
              <w:lang w:val="en-CA" w:eastAsia="en-CA"/>
            </w:rPr>
            <w:instrText xml:space="preserve"> GOTOBUTTON _Toc427576813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r>
            <w:rPr>
              <w:b w:val="false"/>
              <w:lang w:val="en-CA" w:eastAsia="en-CA"/>
            </w:rPr>
            <w:fldChar w:fldCharType="end"/>
          </w:r>
        </w:p>
      </w:sdtContent>
    </w:sdt>
    <w:p>
      <w:pPr>
        <w:pStyle w:val="TOC1"/>
        <w:jc w:val="center"/>
        <w:rPr>
          <w:rFonts w:ascii="Courier" w:hAnsi="Courier" w:cs="Courier"/>
          <w:b w:val="false"/>
          <w:caps w:val="false"/>
          <w:smallCaps w:val="false"/>
          <w:sz w:val="28"/>
          <w:lang w:val="en-CA" w:eastAsia="en-CA"/>
        </w:rPr>
      </w:pPr>
      <w:r>
        <w:rPr>
          <w:rFonts w:cs="Courier" w:ascii="Courier" w:hAnsi="Courier"/>
          <w:b w:val="false"/>
          <w:caps w:val="false"/>
          <w:smallCaps w:val="false"/>
          <w:sz w:val="28"/>
          <w:lang w:val="en-CA" w:eastAsia="en-CA"/>
        </w:rPr>
      </w:r>
    </w:p>
    <w:p>
      <w:pPr>
        <w:pStyle w:val="Normal"/>
        <w:tabs>
          <w:tab w:val="clear" w:pos="720"/>
          <w:tab w:val="center" w:pos="4920" w:leader="none"/>
        </w:tabs>
        <w:rPr>
          <w:rFonts w:ascii="Courier" w:hAnsi="Courier" w:cs="Courier"/>
          <w:caps/>
          <w:sz w:val="19"/>
        </w:rPr>
      </w:pPr>
      <w:r>
        <w:rPr>
          <w:rFonts w:cs="Courier" w:ascii="Courier" w:hAnsi="Courier"/>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ind w:hanging="1440" w:start="1440" w:end="0"/>
        <w:jc w:val="both"/>
        <w:rPr>
          <w:rFonts w:ascii="Times New Roman" w:hAnsi="Times New Roman" w:cs="Times New Roman"/>
          <w:sz w:val="22"/>
        </w:rPr>
      </w:pPr>
      <w:r>
        <w:rPr>
          <w:rFonts w:cs="Times New Roman"/>
          <w:sz w:val="22"/>
        </w:rPr>
      </w:r>
    </w:p>
    <w:p>
      <w:pPr>
        <w:pStyle w:val="BodyTextIndent2"/>
        <w:rPr/>
      </w:pPr>
      <w:r>
        <w:rPr>
          <w:rFonts w:cs="Times New Roman" w:ascii="Times New Roman" w:hAnsi="Times New Roman"/>
          <w:sz w:val="22"/>
        </w:rPr>
        <w:t>CP01-16</w:t>
      </w:r>
      <w:r>
        <w:rPr>
          <w:rFonts w:cs="Times New Roman" w:ascii="Times New Roman" w:hAnsi="Times New Roman"/>
          <w:b w:val="false"/>
          <w:sz w:val="22"/>
        </w:rPr>
        <w:tab/>
      </w:r>
      <w:r>
        <w:rPr>
          <w:rFonts w:cs="Times New Roman" w:ascii="Times New Roman" w:hAnsi="Times New Roman"/>
          <w:sz w:val="22"/>
        </w:rPr>
        <w:t xml:space="preserve">STEVENS CO. NO. 2, UNIT #12 ABANDONMENT - </w:t>
      </w:r>
      <w:r>
        <w:rPr>
          <w:rFonts w:cs="Times New Roman" w:ascii="Times New Roman" w:hAnsi="Times New Roman"/>
          <w:b w:val="false"/>
          <w:sz w:val="22"/>
        </w:rPr>
        <w:t xml:space="preserve">Section 7(b) application to abandon by removal unit 12 at the Stevens Co. No. 2 compressor station.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10/19/00</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01/16/01 </w:t>
      </w:r>
      <w:r>
        <w:rPr>
          <w:sz w:val="18"/>
        </w:rPr>
        <w:t xml:space="preserve"> </w:t>
      </w:r>
      <w:r>
        <w:rPr>
          <w:sz w:val="16"/>
        </w:rPr>
        <w:t>94 FERC ¶ 62,032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BodyTextIndent2"/>
        <w:rPr/>
      </w:pPr>
      <w:r>
        <w:rPr>
          <w:rFonts w:cs="Times New Roman" w:ascii="Times New Roman" w:hAnsi="Times New Roman"/>
          <w:sz w:val="22"/>
        </w:rPr>
        <w:t xml:space="preserve">CP01-  </w:t>
        <w:tab/>
        <w:tab/>
        <w:t xml:space="preserve">WGR/Gomez Sale – </w:t>
      </w:r>
      <w:r>
        <w:rPr>
          <w:rFonts w:cs="Times New Roman" w:ascii="Times New Roman" w:hAnsi="Times New Roman"/>
          <w:b w:val="false"/>
          <w:bCs/>
          <w:sz w:val="22"/>
        </w:rPr>
        <w:t>Section 7(b) application requesting permission and approval to abandon, by sale to Western Gas Resources –Texas (WGR), Northern’s Gomez facilities which consists of approximately 83 miles of 8- and 16-inch pipeline, the Gomez complex consistin of seven (7) units, treating and dehydration facilities, and all delivery and receipt points located along the length of the pipelines.</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Filed:</w:t>
        <w:tab/>
        <w:tab/>
        <w:t>02/14/2001</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Noticed:</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Cs/>
          <w:sz w:val="22"/>
        </w:rPr>
      </w:pPr>
      <w:r>
        <w:rPr>
          <w:bCs/>
          <w:sz w:val="22"/>
        </w:rPr>
        <w:t>Regulatory Contact:  Donna</w:t>
      </w:r>
    </w:p>
    <w:p>
      <w:pPr>
        <w:pStyle w:val="BodyTextIndent2"/>
        <w:rPr>
          <w:rFonts w:ascii="Times New Roman" w:hAnsi="Times New Roman" w:cs="Times New Roman"/>
          <w:bCs/>
          <w:sz w:val="22"/>
        </w:rPr>
      </w:pPr>
      <w:r>
        <w:rPr>
          <w:rFonts w:cs="Times New Roman" w:ascii="Times New Roman" w:hAnsi="Times New Roman"/>
          <w:bCs/>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rFonts w:ascii="Times New Roman" w:hAnsi="Times New Roman" w:cs="Times New Roman"/>
          <w:sz w:val="22"/>
        </w:rPr>
      </w:pPr>
      <w:r>
        <w:rPr>
          <w:rFonts w:cs="Times New Roman" w:ascii="Times New Roman" w:hAnsi="Times New Roman"/>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CP99-522</w:t>
      </w:r>
      <w:r>
        <w:rPr>
          <w:b/>
          <w:sz w:val="22"/>
        </w:rPr>
        <w:tab/>
        <w:t xml:space="preserve">GALLUP EXPANSION/SAN JUAN COOLERS – </w:t>
      </w:r>
      <w:r>
        <w:rPr>
          <w:sz w:val="22"/>
        </w:rPr>
        <w:t xml:space="preserve">Section 7(c) application to install and operate additional cooling at the Bloomfield and LaPlata “A” compressor stations and a new compression (Gallup) all on the San Juan lateral. On January 14, 2000, filed to accept the order without prejudice to reserving our right to seek rehearing and/or clarification to the order.  </w:t>
      </w:r>
      <w:r>
        <w:rPr>
          <w:color w:val="000000"/>
          <w:sz w:val="22"/>
        </w:rPr>
        <w:t>On January 21, filed notice of a bona fide beginning of construction date of January 17, 2000.  On February 14, 2000 filed a report explaining how Transwestern will retain operational control of the electric motor and a request for rehearing on the discounted rates</w:t>
      </w:r>
      <w:r>
        <w:rPr>
          <w:b/>
          <w:color w:val="000000"/>
          <w:sz w:val="22"/>
        </w:rPr>
        <w:t xml:space="preserve">.  </w:t>
      </w:r>
      <w:r>
        <w:rPr>
          <w:color w:val="000000"/>
          <w:sz w:val="22"/>
        </w:rPr>
        <w:t xml:space="preserve">On February 24, 2000 filed Notice of Construction for the Bloomfield cooler effective February 22, 2000.   A February 28, 2000 Notice of Construction at LaPlata was filed on February 29, 2000.  On 4/10/2000 and 4/24/2000 respectively, filed notices of in-service effective 4/6/2000 for the Bloomfield cooler and 4/20/2000 for the LaPlata coolers.  On 5/5/2000 filed notice of a 5/1/2000 in-service date for the Gallup Compressor Station.  On May 10, 2000 notified FERC that construction activities associated with the installation of the coolers at LaPlata were completed as of May 8, 2000. </w:t>
      </w:r>
      <w:r>
        <w:rPr>
          <w:b/>
          <w:sz w:val="22"/>
        </w:rPr>
        <w:t xml:space="preserve"> </w:t>
      </w:r>
      <w:r>
        <w:rPr>
          <w:sz w:val="22"/>
        </w:rPr>
        <w:t>On June 30, 2000 filed request for extension of time to file noise surveys.  Preliminary data indicates all sites fall within the 55 Ldn range.  Expect reports to be available by mid-July.   FERC granted the request for an extension until August 1, 2000.      FERC denied SoCal’s request for rehearing stating the project would not be subsidized by existing customers and SoCal would not be harmed by the project.  Transwestern’s request for rehearing was deemed moot because the discount rates were filed in the normal course of business.  Filed the noise survey for Gallup Compressor Station on July 21, 2000 indicating noise levels well below 55 Ldn (50.5 and 45.9) at the nearest noise sensitive areas.  On November 29, 2000, filed request for waiver of 6 month requirement and request for extension of time to file the actual costs.  Filed actual costs of $13,006,227 filed on December 28, 2000.  Actual costs were $1,451,852 over the estimate resulting from winter construction, expedited labor, additional materials as a result of unexpected problems at Bloomfield, and increased allocation of overheads.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 xml:space="preserve">: </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Filed:</w:t>
        <w:tab/>
        <w:t>05/13/99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01/13/00</w:t>
      </w:r>
      <w:r>
        <w:rPr>
          <w:rFonts w:cs="Times New Roman" w:ascii="Times New Roman" w:hAnsi="Times New Roman"/>
          <w:sz w:val="22"/>
        </w:rPr>
        <w:t xml:space="preserve"> </w:t>
      </w:r>
      <w:r>
        <w:rPr>
          <w:rFonts w:cs="Times New Roman" w:ascii="Times New Roman" w:hAnsi="Times New Roman"/>
          <w:b w:val="false"/>
          <w:sz w:val="16"/>
        </w:rPr>
        <w:t>90 FERC ¶ 61,032 (2000)</w:t>
      </w:r>
    </w:p>
    <w:p>
      <w:pPr>
        <w:pStyle w:val="BodyTextIndent2"/>
        <w:rPr/>
      </w:pPr>
      <w:r>
        <w:rPr>
          <w:rFonts w:cs="Times New Roman" w:ascii="Times New Roman" w:hAnsi="Times New Roman"/>
          <w:b w:val="false"/>
          <w:sz w:val="22"/>
        </w:rPr>
        <w:tab/>
        <w:tab/>
        <w:tab/>
      </w:r>
      <w:r>
        <w:rPr>
          <w:rFonts w:cs="Times New Roman" w:ascii="Times New Roman" w:hAnsi="Times New Roman"/>
          <w:sz w:val="22"/>
        </w:rPr>
        <w:t>Order on Rehearing</w:t>
        <w:tab/>
        <w:t xml:space="preserve">07/14/00 </w:t>
      </w:r>
      <w:r>
        <w:rPr>
          <w:rFonts w:cs="Times New Roman" w:ascii="Times New Roman" w:hAnsi="Times New Roman"/>
          <w:sz w:val="16"/>
        </w:rPr>
        <w:t>92 FERC ¶61,035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Times New Roman" w:hAnsi="Times New Roman" w:cs="Times New Roman"/>
          <w:b/>
          <w:sz w:val="22"/>
          <w:u w:val="single"/>
        </w:rPr>
      </w:pPr>
      <w:r>
        <w:rPr>
          <w:rFonts w:cs="Times New Roman"/>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8"/>
        <w:tabs>
          <w:tab w:val="clear" w:pos="0"/>
          <w:tab w:val="left" w:pos="-720" w:leader="none"/>
          <w:tab w:val="left" w:pos="720" w:leader="none"/>
          <w:tab w:val="left" w:pos="1440" w:leader="none"/>
          <w:tab w:val="left" w:pos="2160" w:leader="none"/>
          <w:tab w:val="left" w:pos="5760" w:leader="none"/>
        </w:tabs>
        <w:rPr>
          <w:b w:val="false"/>
          <w:sz w:val="22"/>
          <w:u w:val="single"/>
        </w:rPr>
      </w:pPr>
      <w:r>
        <w:rPr>
          <w:b w:val="false"/>
          <w:sz w:val="22"/>
          <w:u w:val="single"/>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 xml:space="preserve">Acquisition of the MI 787 lateral closed effective December 8, 1998.  Letter notifying the Commission of the acquisition was filed on March 1, 1999. </w:t>
      </w:r>
      <w:r>
        <w:rPr>
          <w:b/>
          <w:sz w:val="22"/>
        </w:rPr>
        <w:t xml:space="preserve"> Northern is evaluating the potential abandonment of the compressor facilities located in MAT 686.  Northern will file the abandonment in a separate filing.</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on Rehearing:</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CP98-795</w:t>
        <w:tab/>
      </w:r>
      <w:r>
        <w:rPr>
          <w:b/>
          <w:sz w:val="22"/>
        </w:rPr>
        <w:t>UPH/BURTON FLATS SALE AND CRAWFORD COMPRESSOR RELOCATION</w:t>
      </w:r>
      <w:r>
        <w:rPr>
          <w:sz w:val="22"/>
        </w:rPr>
        <w:t xml:space="preserve"> - Section 7(b) application for permission and approval to abandon by sale to Union Pacific Highlands Gathering and Processing Company (UPH) approximately 58 miles of pipeline and the Crawford Compressor Station site.  Also filed a Section 7(c) application requesting permission to abandon and relocate two 1100 horsepower compressors at the Crawford Compressor Station to the tailgate of a proposed new processing plant to be built by UPH. Meetings held on April 15 and May 4 to discuss conditions, timetable and compliance status. The original purchaser, UPH, was acquired by Duke Energy prior to receiving an Order from the Commission.  On July 8, notified FERC that the first, of a two-part closing, became effective July 1, 1999. Negotiations/discussions on the remaining facilities are ongoing.  Subsequent negotiations with Duke have resulted in the cancellation of the second closing.  Once operations have been reviewed and finalized to accommodate this latest operational configuration, we intend to file a letter with FERC explaining the situation.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 letter is being prepared for comments to notify FERC that, due to economic reasons of Duke, the second closing/abandonment will not take place.  This decision will also preclude the need to relocate the compressor station.  Property Accounting has been notified to prepare and submit the appropriate entries to FERC related to the first closing to comply with a Condition in the Order.</w:t>
      </w:r>
    </w:p>
    <w:p>
      <w:pPr>
        <w:pStyle w:val="Normal"/>
        <w:ind w:hanging="1440" w:start="1440" w:end="0"/>
        <w:jc w:val="both"/>
        <w:rPr>
          <w:b/>
        </w:rPr>
      </w:pPr>
      <w:r>
        <w:rPr>
          <w:sz w:val="22"/>
        </w:rPr>
        <w:tab/>
      </w:r>
      <w:r>
        <w:rPr>
          <w:b/>
          <w:sz w:val="22"/>
        </w:rPr>
        <w:t>January 12, 2001</w:t>
      </w:r>
      <w:r>
        <w:rPr>
          <w:b/>
        </w:rPr>
        <w:t xml:space="preserve"> – </w:t>
      </w:r>
      <w:r>
        <w:rPr>
          <w:b/>
          <w:sz w:val="22"/>
        </w:rPr>
        <w:t>Filed a letter with the Secretary’s office asking for a modification to the Order dated April 1, 1999 that approved the sale of certain facilities and relocation of an existing compressor station.  Duke Energy Field Services (Duke), upon review of associated supply and operating conditions, does not wish to complete the purchase as originally proposed.  Duke, as successor in interest to Highland Gathering &amp; Processing, was not the original negotiating party.  Instead, Duke did purchase, and FERC was notified of the closing, the majority of facilities originally proposed in July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 xml:space="preserve">    </w:t>
      </w:r>
      <w:r>
        <w:rPr>
          <w:b/>
          <w:sz w:val="22"/>
        </w:rPr>
        <w:t xml:space="preserve">  </w:t>
      </w:r>
      <w:r>
        <w:rPr>
          <w:b/>
          <w:sz w:val="22"/>
        </w:rPr>
        <w:tab/>
        <w:tab/>
      </w:r>
      <w:r>
        <w:rPr>
          <w:b/>
          <w:sz w:val="22"/>
          <w:u w:val="single"/>
        </w:rPr>
        <w:t>REMAINING CONDITIONS</w:t>
      </w:r>
      <w:r>
        <w:rPr>
          <w:b/>
          <w:sz w:val="22"/>
        </w:rPr>
        <w:t xml:space="preserve">: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Noise survey must be filed 60 days after placing new Crawford Compressor Station in service.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09/23/98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04/01/99</w:t>
      </w:r>
      <w:r>
        <w:rPr>
          <w:b/>
          <w:sz w:val="22"/>
        </w:rPr>
        <w:t xml:space="preserve"> </w:t>
      </w:r>
      <w:r>
        <w:rPr>
          <w:sz w:val="16"/>
        </w:rPr>
        <w:t>87 FERC ¶ 61,004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 xml:space="preserve">Certificate Accepted:  </w:t>
        <w:tab/>
        <w:t>04/26/99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Transwestern will file to vacate this order.  A Motion to Vacate this order was filed on December 11, 2000.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sz w:val="16"/>
        </w:rPr>
        <w:tab/>
        <w:tab/>
        <w:tab/>
      </w:r>
      <w:r>
        <w:rPr>
          <w:sz w:val="22"/>
        </w:rPr>
        <w:t>Order on Motion to Vacate:</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end="0"/>
        <w:rPr/>
      </w:pPr>
      <w:r>
        <w:rPr/>
        <w:tab/>
        <w:t>“751” Facilities –CMS conveyance documents received in September.  Duke document received in December.  A letter complying with the abandonment notification Condition of the Order will be prepared for comments and, once approved, sent to FERC.  This should conclude the “abandonment by sale” portion of the 751 filing.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3"/>
        <w:tabs>
          <w:tab w:val="left" w:pos="-720" w:leader="none"/>
          <w:tab w:val="left" w:pos="0" w:leader="none"/>
          <w:tab w:val="left" w:pos="720" w:leader="none"/>
          <w:tab w:val="left" w:pos="1440" w:leader="none"/>
          <w:tab w:val="left" w:pos="2160" w:leader="none"/>
          <w:tab w:val="left" w:pos="5760" w:leader="none"/>
        </w:tabs>
        <w:ind w:hanging="1440" w:end="0"/>
        <w:rPr>
          <w:rFonts w:ascii="Times New Roman" w:hAnsi="Times New Roman" w:cs="Times New Roman"/>
          <w:b/>
          <w:sz w:val="22"/>
        </w:rPr>
      </w:pPr>
      <w:r>
        <w:rPr>
          <w:rFonts w:cs="Times New Roman" w:ascii="Times New Roman" w:hAnsi="Times New Roman"/>
          <w:sz w:val="22"/>
        </w:rPr>
        <w:t>CP99-191</w:t>
        <w:tab/>
      </w:r>
      <w:r>
        <w:rPr>
          <w:rFonts w:cs="Times New Roman" w:ascii="Times New Roman" w:hAnsi="Times New Roman"/>
          <w:b/>
          <w:sz w:val="22"/>
        </w:rPr>
        <w:t>ELK RIVER LOOP/PD2K YR 3</w:t>
      </w:r>
      <w:r>
        <w:rPr>
          <w:rFonts w:cs="Times New Roman" w:ascii="Times New Roman" w:hAnsi="Times New Roman"/>
          <w:sz w:val="22"/>
        </w:rPr>
        <w:t xml:space="preserve"> - Prior notice filing for authorization to install and operate approximately 15 miles of 16 inch loop to meet firm entitlement for Peak Day 2000 shippers Year 3 off the Elk River Branchline.  The prior notice filing was protested and therefore pursuant to the regulations the application was treated as a case-specific filing.  The Order issued September 30, 1999 approved the entire project along Northern’s proposed route pursuant to its blanket certificate. </w:t>
      </w:r>
      <w:r>
        <w:rPr>
          <w:rFonts w:cs="Times New Roman" w:ascii="Times New Roman" w:hAnsi="Times New Roman"/>
          <w:b/>
          <w:sz w:val="22"/>
        </w:rPr>
        <w:t xml:space="preserve"> </w:t>
      </w:r>
      <w:r>
        <w:rPr>
          <w:rFonts w:cs="Times New Roman" w:ascii="Times New Roman" w:hAnsi="Times New Roman"/>
          <w:sz w:val="22"/>
        </w:rPr>
        <w:t>On November 1, 1999, Winslow Holasek filed a timely request for rehearing of the Commission‘s Order approving this project Order Denying Rehearing and Reconsideration and Dismissing Motion to Stay was issued March 24, 2000.  The Phase I facilities were placed in-service on November 29, 1999.  A request for a waiver of the blanket cost limits was filed on June 13, 2000.   FERC responded on July 7 that the request for a waiver was premature unless Northern had information that showed the estimated costs would exceed the blanket cost limits. The Phase II facilities were placed in-service on September 21,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CONDITIONS</w:t>
      </w:r>
      <w:r>
        <w:rPr>
          <w:b/>
          <w:sz w:val="22"/>
        </w:rPr>
        <w:t xml:space="preserve">: </w:t>
      </w:r>
    </w:p>
    <w:p>
      <w:pPr>
        <w:pStyle w:val="Normal"/>
        <w:numPr>
          <w:ilvl w:val="0"/>
          <w:numId w:val="2"/>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jc w:val="both"/>
        <w:rPr>
          <w:b/>
          <w:sz w:val="22"/>
        </w:rPr>
      </w:pPr>
      <w:r>
        <w:rPr>
          <w:b/>
          <w:sz w:val="22"/>
        </w:rPr>
        <w:t>File Actual Construction Costs on or before March 21, 2001</w:t>
      </w:r>
    </w:p>
    <w:p>
      <w:pPr>
        <w:pStyle w:val="BodyTextIndent3"/>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ab/>
        <w:t>Filed:</w:t>
        <w:tab/>
        <w:t>02/02/99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09/30/99</w:t>
      </w:r>
      <w:r>
        <w:rPr>
          <w:rFonts w:cs="Times New Roman" w:ascii="Times New Roman" w:hAnsi="Times New Roman"/>
          <w:b w:val="false"/>
          <w:sz w:val="18"/>
        </w:rPr>
        <w:t xml:space="preserve"> </w:t>
      </w:r>
      <w:r>
        <w:rPr>
          <w:rFonts w:cs="Times New Roman" w:ascii="Times New Roman" w:hAnsi="Times New Roman"/>
          <w:b w:val="false"/>
          <w:sz w:val="16"/>
        </w:rPr>
        <w:t>88 FERC ¶ 61,327 (1999)</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Certificate Accepted:</w:t>
        <w:tab/>
        <w:t>10/01/99</w:t>
      </w:r>
    </w:p>
    <w:p>
      <w:pPr>
        <w:pStyle w:val="BodyTextIndent2"/>
        <w:rPr/>
      </w:pPr>
      <w:r>
        <w:rPr>
          <w:rFonts w:cs="Times New Roman" w:ascii="Times New Roman" w:hAnsi="Times New Roman"/>
          <w:b w:val="false"/>
          <w:sz w:val="22"/>
        </w:rPr>
        <w:tab/>
        <w:tab/>
        <w:tab/>
        <w:t>Order Denying Rehearing:</w:t>
        <w:tab/>
        <w:t xml:space="preserve">03/24/00 </w:t>
      </w:r>
      <w:r>
        <w:rPr>
          <w:rFonts w:cs="Times New Roman" w:ascii="Times New Roman" w:hAnsi="Times New Roman"/>
          <w:b w:val="false"/>
          <w:sz w:val="16"/>
        </w:rPr>
        <w:t xml:space="preserve"> 90 FERC ¶ 61,296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Received draft copy of historical pamphlet.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Need Iowa SHPO (historian) clearance and director’s letter from FERC for Ventura, IA segment prior to any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CP98-229</w:t>
        <w:tab/>
      </w:r>
      <w:r>
        <w:rPr>
          <w:b/>
          <w:sz w:val="22"/>
        </w:rPr>
        <w:t>KN GATHERING/LIBERAL FACILITIES SALE</w:t>
      </w:r>
      <w:r>
        <w:rPr>
          <w:sz w:val="22"/>
        </w:rPr>
        <w:t xml:space="preserve"> - Section 7(b) application for permission and approval to abandon, by sale to KN Gas Gathering, approximately 33 miles of pipeline with appurtenant facilities located in the Liberal area (Liberal Facilities). An amendment to the December 30, 1997 Asset Purchase Agreement (APA) was executed on January 29, 1999 that extended the term of the agreement.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Northern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Northern will file to vacate this order.  </w:t>
      </w:r>
      <w:r>
        <w:rPr>
          <w:b/>
          <w:sz w:val="22"/>
        </w:rPr>
        <w:t>Waiting for Marketing regarding the timing of a filing.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12/22/98 </w:t>
      </w:r>
      <w:r>
        <w:rPr>
          <w:sz w:val="18"/>
        </w:rPr>
        <w:t xml:space="preserve"> </w:t>
      </w:r>
      <w:r>
        <w:rPr>
          <w:sz w:val="16"/>
        </w:rPr>
        <w:t>85 FERC ¶ 61,418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ind w:hanging="1440" w:start="1440" w:end="0"/>
        <w:jc w:val="both"/>
        <w:rPr>
          <w:sz w:val="22"/>
        </w:rPr>
      </w:pPr>
      <w:r>
        <w:rPr>
          <w:sz w:val="22"/>
        </w:rPr>
      </w:r>
    </w:p>
    <w:p>
      <w:pPr>
        <w:pStyle w:val="Normal"/>
        <w:ind w:hanging="1440" w:start="1440" w:end="0"/>
        <w:jc w:val="both"/>
        <w:rPr>
          <w:sz w:val="22"/>
        </w:rPr>
      </w:pPr>
      <w:r>
        <w:rPr>
          <w:sz w:val="22"/>
        </w:rPr>
      </w:r>
    </w:p>
    <w:p>
      <w:pPr>
        <w:pStyle w:val="Normal"/>
        <w:ind w:hanging="1440" w:start="1440" w:end="0"/>
        <w:jc w:val="both"/>
        <w:rPr>
          <w:b/>
          <w:sz w:val="22"/>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CP99-188-000.  Northern and El Paso entered into an Amendatory Agreement regarding certain changes to the purchase price adjustment and modifications to the termination provision of the original agreement.  The Amendatory Agreement was filed May 8, 2000.  The order issued October 27</w:t>
      </w:r>
      <w:r>
        <w:rPr>
          <w:sz w:val="22"/>
          <w:vertAlign w:val="superscript"/>
        </w:rPr>
        <w:t>th</w:t>
      </w:r>
      <w:r>
        <w:rPr>
          <w:sz w:val="22"/>
        </w:rPr>
        <w:t xml:space="preserve"> grants permission and approval to abandon the SSL facilities by sale to El Paso, denies Anadarko’s and Amoco’s protests, and declares the subject facilities gathering.  Sale closed effective December 1, 2000.  Notice of abandonment filed on December 7, 2000. </w:t>
      </w:r>
    </w:p>
    <w:p>
      <w:pPr>
        <w:pStyle w:val="Normal"/>
        <w:ind w:hanging="1440" w:start="1440" w:end="0"/>
        <w:jc w:val="both"/>
        <w:rPr/>
      </w:pPr>
      <w:r>
        <w:rPr>
          <w:sz w:val="22"/>
        </w:rPr>
        <w:tab/>
      </w:r>
      <w:r>
        <w:rPr>
          <w:b/>
          <w:sz w:val="22"/>
          <w:u w:val="single"/>
        </w:rPr>
        <w:t>Remaining condition</w:t>
      </w:r>
      <w:r>
        <w:rPr>
          <w:b/>
          <w:sz w:val="22"/>
        </w:rPr>
        <w:t xml:space="preserve">:  </w:t>
      </w:r>
    </w:p>
    <w:p>
      <w:pPr>
        <w:pStyle w:val="Normal"/>
        <w:ind w:hanging="1440" w:start="1440" w:end="0"/>
        <w:jc w:val="both"/>
        <w:rPr>
          <w:b/>
          <w:sz w:val="22"/>
          <w:u w:val="single"/>
        </w:rPr>
      </w:pPr>
      <w:r>
        <w:rPr>
          <w:b/>
          <w:sz w:val="22"/>
        </w:rPr>
        <w:tab/>
        <w:t>Accounting entries due on or before June 6, 2001.</w:t>
      </w:r>
    </w:p>
    <w:p>
      <w:pPr>
        <w:pStyle w:val="Normal"/>
        <w:ind w:hanging="1440" w:start="1440" w:end="0"/>
        <w:jc w:val="both"/>
        <w:rPr>
          <w:sz w:val="22"/>
        </w:rPr>
      </w:pPr>
      <w:r>
        <w:rPr>
          <w:sz w:val="22"/>
        </w:rPr>
        <w:tab/>
        <w:tab/>
        <w:t>Filed:</w:t>
        <w:tab/>
        <w:tab/>
        <w:tab/>
        <w:tab/>
        <w:tab/>
        <w:t>08/25/98</w:t>
      </w:r>
    </w:p>
    <w:p>
      <w:pPr>
        <w:pStyle w:val="Normal"/>
        <w:ind w:hanging="1440" w:start="1440" w:end="0"/>
        <w:jc w:val="both"/>
        <w:rPr/>
      </w:pPr>
      <w:r>
        <w:rPr>
          <w:sz w:val="22"/>
        </w:rPr>
        <w:tab/>
        <w:tab/>
        <w:t>Abandonment Order Issued:</w:t>
        <w:tab/>
        <w:tab/>
        <w:t xml:space="preserve">10/27/00 </w:t>
      </w:r>
      <w:r>
        <w:rPr>
          <w:sz w:val="16"/>
        </w:rPr>
        <w:t>93 FERC ¶ 61,101 (2000)</w:t>
      </w:r>
    </w:p>
    <w:p>
      <w:pPr>
        <w:pStyle w:val="Normal"/>
        <w:ind w:hanging="1440" w:start="1440" w:end="0"/>
        <w:jc w:val="center"/>
        <w:rPr>
          <w:sz w:val="22"/>
        </w:rPr>
      </w:pPr>
      <w:r>
        <w:rPr>
          <w:sz w:val="22"/>
        </w:rPr>
        <w:t>Regulatory Contact:</w:t>
        <w:tab/>
        <w:t>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pacing w:val="-3"/>
          <w:sz w:val="22"/>
        </w:rPr>
      </w:pPr>
      <w:r>
        <w:rPr>
          <w:sz w:val="22"/>
        </w:rPr>
        <w:t>CP98-132-001</w:t>
        <w:tab/>
      </w:r>
      <w:r>
        <w:rPr>
          <w:b/>
          <w:sz w:val="22"/>
        </w:rPr>
        <w:t>C&amp;D-LINE EXTENSIONS</w:t>
      </w:r>
      <w:r>
        <w:rPr>
          <w:sz w:val="22"/>
        </w:rPr>
        <w:t xml:space="preserve"> - Section 7(c) application</w:t>
      </w:r>
      <w:r>
        <w:rPr>
          <w:rFonts w:cs="Arial" w:ascii="Arial" w:hAnsi="Arial"/>
          <w:spacing w:val="-3"/>
          <w:sz w:val="24"/>
        </w:rPr>
        <w:t xml:space="preserve"> </w:t>
      </w:r>
      <w:r>
        <w:rPr>
          <w:spacing w:val="-3"/>
          <w:sz w:val="22"/>
        </w:rPr>
        <w:t>to amend the certificate of public convenience and necessity granted by order issued June 30, 1998 in Docket No. CP98-132-000.  The amended application requests authorization to construct and operate approximately 5.6 miles of pipe, with appurtenances,</w:t>
      </w:r>
      <w:r>
        <w:rPr>
          <w:rFonts w:cs="Arial" w:ascii="Arial" w:hAnsi="Arial"/>
          <w:spacing w:val="-3"/>
          <w:sz w:val="24"/>
        </w:rPr>
        <w:t xml:space="preserve"> </w:t>
      </w:r>
      <w:r>
        <w:rPr>
          <w:spacing w:val="-3"/>
          <w:sz w:val="22"/>
        </w:rPr>
        <w:t>rather than construct the originally authorized facilities</w:t>
      </w:r>
      <w:r>
        <w:rPr>
          <w:rFonts w:cs="Arial" w:ascii="Arial" w:hAnsi="Arial"/>
          <w:spacing w:val="-3"/>
          <w:sz w:val="24"/>
        </w:rPr>
        <w:t xml:space="preserve">.  </w:t>
      </w:r>
      <w:r>
        <w:rPr>
          <w:spacing w:val="-3"/>
          <w:sz w:val="22"/>
        </w:rPr>
        <w:t xml:space="preserve">On September 5, 2000, Northern filed a supplement to its environmental report to update information regarding landowners, river permits, and minor corrections to the report.  </w:t>
      </w:r>
      <w:r>
        <w:rPr>
          <w:sz w:val="22"/>
        </w:rPr>
        <w:t>Minnegasco filed a protest regarding Northern's request for rolled-in rate treatment of the incremental facilities.  Minnegasco argues that unless Northern provides contracts for the incremental capacity for a minimum of ten (10) years, the Commission should decline Northern's request for rolled-in rate treatment and leave in place the earlier certificate condition putting Northern at-risk for the incremental facilities. The NDG, UtiliCorp, and Viking filed vanilla interventions.</w:t>
      </w:r>
      <w:r>
        <w:rPr>
          <w:spacing w:val="-3"/>
          <w:sz w:val="22"/>
        </w:rPr>
        <w:t xml:space="preserve">  On September 18, 2000, Northern filed a response to Minnegasco's protest.  Northern argues that rolled-in pricing is appropriate for the expansion project under the Commission's Policy Statement.  On October 26, 2000, Northern filed its response to staff’s October 6</w:t>
      </w:r>
      <w:r>
        <w:rPr>
          <w:spacing w:val="-3"/>
          <w:sz w:val="22"/>
          <w:vertAlign w:val="superscript"/>
        </w:rPr>
        <w:t>th</w:t>
      </w:r>
      <w:r>
        <w:rPr>
          <w:spacing w:val="-3"/>
          <w:sz w:val="22"/>
        </w:rPr>
        <w:t xml:space="preserve"> environmental data request.</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Amendment Noticed:</w:t>
        <w:tab/>
        <w:tab/>
        <w:t>08/11/00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r>
      <w:r>
        <w:rPr>
          <w:b/>
          <w:sz w:val="22"/>
        </w:rPr>
        <w:t>Order Granting Amendment:</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CP01-03-000</w:t>
        <w:tab/>
        <w:t xml:space="preserve">SUNRAY COMPRESSOR STATION UNIT #9 - </w:t>
      </w:r>
      <w:r>
        <w:rPr>
          <w:sz w:val="22"/>
        </w:rPr>
        <w:t xml:space="preserve">Section 7(b) application for permission to abandon in-place compressor unit #9.  </w:t>
      </w:r>
      <w:r>
        <w:rPr>
          <w:b/>
          <w:sz w:val="22"/>
        </w:rPr>
        <w:t>A notice of abandonment due to FERC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10/04/00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12/06/00 </w:t>
      </w:r>
      <w:r>
        <w:rPr/>
        <w:t xml:space="preserve"> 93 FERC ¶ 62,174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8"/>
        <w:tabs>
          <w:tab w:val="clear" w:pos="0"/>
          <w:tab w:val="left" w:pos="-720" w:leader="none"/>
          <w:tab w:val="left" w:pos="720" w:leader="none"/>
          <w:tab w:val="left" w:pos="1440" w:leader="none"/>
          <w:tab w:val="left" w:pos="2160" w:leader="none"/>
          <w:tab w:val="left" w:pos="5760" w:leader="none"/>
        </w:tabs>
        <w:rPr/>
      </w:pPr>
      <w:r>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09/14/00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w:t>
      </w:r>
    </w:p>
    <w:p>
      <w:pPr>
        <w:pStyle w:val="Normal"/>
        <w:ind w:hanging="1440" w:start="1440" w:end="0"/>
        <w:jc w:val="both"/>
        <w:rPr/>
      </w:pPr>
      <w:r>
        <w:rPr>
          <w:b/>
          <w:sz w:val="22"/>
        </w:rPr>
        <w:tab/>
      </w:r>
      <w:r>
        <w:rPr>
          <w:sz w:val="22"/>
        </w:rPr>
        <w:t>January 4, 2001</w:t>
      </w:r>
      <w:r>
        <w:rPr>
          <w:b/>
          <w:sz w:val="22"/>
        </w:rPr>
        <w:t xml:space="preserve"> </w:t>
      </w:r>
      <w:r>
        <w:rPr>
          <w:sz w:val="22"/>
        </w:rPr>
        <w:t xml:space="preserve">– As of this date, several informal data requests have been received and a response to each is being prepared.  Commission Certificate Staff  is seeking more detail on the B-Line replacement while Environmental Staff has requested additional information on  activity in the river itself, including the submittal of a site-specific plan, as well as further justification for the proposed method of abandonment and alternatives considered.  We have also just received oral notice that the Nebraska State Historical Society has determined that the bridge is </w:t>
      </w:r>
      <w:r>
        <w:rPr>
          <w:rFonts w:cs="Arial" w:ascii="Arial" w:hAnsi="Arial"/>
          <w:color w:val="000000"/>
        </w:rPr>
        <w:t xml:space="preserve">eligible for the National Historic Registry.  This </w:t>
      </w:r>
      <w:r>
        <w:rPr>
          <w:sz w:val="22"/>
        </w:rPr>
        <w:t>will require additional time and expense by Northern to prepare, distribute and archive the facility history if we continue to seek abandonment.</w:t>
      </w:r>
    </w:p>
    <w:p>
      <w:pPr>
        <w:pStyle w:val="Normal"/>
        <w:ind w:hanging="1440" w:start="1440" w:end="0"/>
        <w:jc w:val="both"/>
        <w:rPr>
          <w:sz w:val="22"/>
        </w:rPr>
      </w:pPr>
      <w:r>
        <w:rPr>
          <w:sz w:val="22"/>
        </w:rPr>
        <w:tab/>
        <w:t>February 6, 2001 – Filed written responses to FERC data requests cited above.</w:t>
      </w:r>
    </w:p>
    <w:p>
      <w:pPr>
        <w:pStyle w:val="Normal"/>
        <w:ind w:hanging="1440" w:start="1440" w:end="0"/>
        <w:jc w:val="both"/>
        <w:rPr>
          <w:sz w:val="22"/>
        </w:rPr>
      </w:pPr>
      <w:r>
        <w:rPr>
          <w:sz w:val="22"/>
        </w:rPr>
        <w:t xml:space="preserve">   </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sz w:val="22"/>
        </w:rPr>
      </w:pPr>
      <w:r>
        <w:rPr>
          <w:sz w:val="22"/>
        </w:rPr>
        <w:tab/>
        <w:tab/>
        <w:t>Noticed:</w:t>
        <w:tab/>
        <w:tab/>
        <w:tab/>
        <w:tab/>
        <w:t>11/30/00</w:t>
      </w:r>
    </w:p>
    <w:p>
      <w:pPr>
        <w:pStyle w:val="Normal"/>
        <w:ind w:hanging="1440" w:start="1440" w:end="0"/>
        <w:jc w:val="both"/>
        <w:rPr>
          <w:sz w:val="22"/>
        </w:rPr>
      </w:pPr>
      <w:r>
        <w:rPr>
          <w:sz w:val="22"/>
        </w:rPr>
        <w:tab/>
        <w:tab/>
        <w:t>Intervention Period Ends</w:t>
        <w:tab/>
        <w:tab/>
        <w:t>12/21/00</w:t>
      </w:r>
    </w:p>
    <w:p>
      <w:pPr>
        <w:pStyle w:val="Normal"/>
        <w:ind w:hanging="1440" w:start="1440" w:end="0"/>
        <w:jc w:val="both"/>
        <w:rPr>
          <w:sz w:val="22"/>
        </w:rPr>
      </w:pPr>
      <w:r>
        <w:rPr>
          <w:sz w:val="22"/>
        </w:rPr>
        <w:tab/>
        <w:tab/>
        <w:t>Regulatory Analyst:</w:t>
        <w:tab/>
        <w:tab/>
        <w:tab/>
        <w:t xml:space="preserve">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b/>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sz w:val="22"/>
        </w:rPr>
      </w:pPr>
      <w:r>
        <w:rPr>
          <w:rFonts w:cs="Times New Roman" w:ascii="Times New Roman" w:hAnsi="Times New Roman"/>
          <w:b w:val="false"/>
          <w:sz w:val="22"/>
        </w:rPr>
        <w:t>JOSIE</w:t>
      </w:r>
      <w:r>
        <w:rPr>
          <w:rFonts w:cs="Times New Roman" w:ascii="Times New Roman" w:hAnsi="Times New Roman"/>
          <w:sz w:val="22"/>
        </w:rPr>
        <w:tab/>
        <w:tab/>
        <w:t>OLSEN FARM TAP ABANDONMENT –</w:t>
      </w:r>
      <w:r>
        <w:rPr>
          <w:rFonts w:cs="Times New Roman" w:ascii="Times New Roman" w:hAnsi="Times New Roman"/>
          <w:b w:val="false"/>
          <w:sz w:val="22"/>
        </w:rPr>
        <w:t>Abandon by sale to Peoples farm taps located in Minnesota.  Draft in progress.</w:t>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b w:val="false"/>
          <w:sz w:val="22"/>
        </w:rPr>
        <w:t>MICHELE</w:t>
      </w:r>
      <w:r>
        <w:rPr>
          <w:rFonts w:cs="Times New Roman" w:ascii="Times New Roman" w:hAnsi="Times New Roman"/>
          <w:sz w:val="22"/>
        </w:rPr>
        <w:tab/>
        <w:t>MOPS COMPRESSOR ABANDONMENT –</w:t>
      </w:r>
      <w:r>
        <w:rPr>
          <w:rFonts w:cs="Times New Roman" w:ascii="Times New Roman" w:hAnsi="Times New Roman"/>
          <w:b w:val="false"/>
          <w:sz w:val="22"/>
        </w:rPr>
        <w:t xml:space="preserve"> Prior notice filing to abandon the compression located on the platform in Matagorda Island 686.  Northern proposes to abandon the units and appurtenant gas facilities by removal and donate the platform and non-gas facilities to the University of Texas A&amp;M-Corpus Christi.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MICHELE</w:t>
        <w:tab/>
      </w:r>
      <w:r>
        <w:rPr>
          <w:rFonts w:cs="Times New Roman" w:ascii="Times New Roman" w:hAnsi="Times New Roman"/>
          <w:sz w:val="22"/>
        </w:rPr>
        <w:t>SKELLYTOWN ABANDONMENT</w:t>
      </w:r>
      <w:r>
        <w:rPr>
          <w:rFonts w:cs="Times New Roman" w:ascii="Times New Roman" w:hAnsi="Times New Roman"/>
          <w:b w:val="false"/>
          <w:sz w:val="22"/>
        </w:rPr>
        <w:t xml:space="preserve"> - Section 7(b) filing to abandon certain facilities near Skellytown.  Facilities include the Bobbitt, Haiduk, and McConnell compressor stations and downstream pipelines (approximately 10 miles of pipe).  These facilities are currently only providing service to farm tap users due a to failure of the pipeline in February 2000.  Also, included are the Burnett compressor station and downstream pipe.  Due to easement requirements, Northern currently proposes to sell the pipelines and remove the compressor stations.  Marketing is working with parties regarding the possible sale of the pipelines.  If negotiations are not completed for the sale, the pipelines will be removed.  In order to mitigate the financial impact, Northern will request a 5-year removal schedule for this abandonment.   Application is in progress.</w:t>
      </w:r>
    </w:p>
    <w:p>
      <w:pPr>
        <w:pStyle w:val="Normal"/>
        <w:rPr>
          <w:rFonts w:ascii="Times New Roman" w:hAnsi="Times New Roman" w:cs="Times New Roman"/>
          <w:b/>
          <w:sz w:val="22"/>
        </w:rPr>
      </w:pPr>
      <w:r>
        <w:rPr>
          <w:rFonts w:cs="Times New Roman"/>
          <w:b/>
          <w:sz w:val="22"/>
        </w:rPr>
      </w:r>
    </w:p>
    <w:p>
      <w:pPr>
        <w:pStyle w:val="Normal"/>
        <w:ind w:hanging="1440" w:start="1440" w:end="0"/>
        <w:rPr/>
      </w:pPr>
      <w:r>
        <w:rPr>
          <w:sz w:val="22"/>
        </w:rPr>
        <w:t>BRET</w:t>
        <w:tab/>
      </w:r>
      <w:r>
        <w:rPr>
          <w:b/>
          <w:sz w:val="22"/>
        </w:rPr>
        <w:t xml:space="preserve">MULLINVILLE UNITS #1-5 ABANDONMENT - </w:t>
      </w:r>
      <w:r>
        <w:rPr>
          <w:sz w:val="22"/>
        </w:rPr>
        <w:t>Section 7(b) filing to abandon, in place, compressor units #1-5 at Mullinville.  Application is in progress.</w:t>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sz w:val="22"/>
        </w:rPr>
      </w:pPr>
      <w:r>
        <w:rPr>
          <w:sz w:val="22"/>
        </w:rPr>
        <w:t>DONNA</w:t>
      </w:r>
      <w:r>
        <w:rPr>
          <w:b/>
          <w:sz w:val="22"/>
        </w:rPr>
        <w:tab/>
      </w:r>
    </w:p>
    <w:p>
      <w:pPr>
        <w:pStyle w:val="Normal"/>
        <w:ind w:hanging="1440" w:start="1440" w:end="0"/>
        <w:rPr>
          <w:sz w:val="22"/>
        </w:rPr>
      </w:pPr>
      <w:r>
        <w:rPr>
          <w:sz w:val="22"/>
        </w:rPr>
      </w:r>
    </w:p>
    <w:p>
      <w:pPr>
        <w:pStyle w:val="Normal"/>
        <w:ind w:hanging="1440" w:start="1440" w:end="0"/>
        <w:rPr/>
      </w:pPr>
      <w:r>
        <w:rPr>
          <w:sz w:val="22"/>
        </w:rPr>
        <w:t>DONNA</w:t>
      </w:r>
      <w:r>
        <w:rPr/>
        <w:tab/>
      </w:r>
      <w:r>
        <w:rPr>
          <w:b/>
          <w:bCs/>
          <w:sz w:val="22"/>
        </w:rPr>
        <w:t xml:space="preserve">TW Mainline Expansion  </w:t>
      </w:r>
      <w:r>
        <w:rPr>
          <w:sz w:val="22"/>
        </w:rPr>
        <w:t xml:space="preserve">Section 7(c)/7(b) application to replace the existing units at Stations 1 through 4 with a new 38,000 HP (ISO rated) unit at each station.  The existing units will be abandoned in place.  The additional horsepower will allow an incremental 150,000 Mcf/day from Thoreau to the California border.  Application in progress. </w:t>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8351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February 12,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6">
    <w:name w:val="heading 6"/>
    <w:basedOn w:val="Normal"/>
    <w:next w:val="Normal"/>
    <w:qFormat/>
    <w:pPr>
      <w:keepNext w:val="true"/>
      <w:numPr>
        <w:ilvl w:val="5"/>
        <w:numId w:val="1"/>
      </w:numPr>
      <w:jc w:val="center"/>
      <w:outlineLvl w:val="5"/>
    </w:pPr>
    <w:rPr>
      <w:rFonts w:ascii="Courier" w:hAnsi="Courier" w:cs="Courie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2001-02-13T20:27:00Z</dcterms:created>
  <dc:creator>Enron</dc:creator>
  <dc:description/>
  <dc:language>en-CA</dc:language>
  <cp:lastModifiedBy>jcall</cp:lastModifiedBy>
  <cp:lastPrinted>2001-02-13T16:57:00Z</cp:lastPrinted>
  <dcterms:modified xsi:type="dcterms:W3CDTF">2001-02-13T20:28:00Z</dcterms:modified>
  <cp:revision>3</cp:revision>
  <dc:subject/>
  <dc:title>E T &amp; S</dc:title>
</cp:coreProperties>
</file>