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FCE MARKUP</w:t>
      </w:r>
    </w:p>
    <w:p>
      <w:pPr>
        <w:pStyle w:val="Heading1"/>
        <w:ind w:hanging="0" w:start="0"/>
        <w:rPr/>
      </w:pPr>
      <w:r>
        <w:rPr/>
        <w:t>November 20, 2000</w:t>
      </w:r>
    </w:p>
    <w:p>
      <w:pPr>
        <w:pStyle w:val="Normal"/>
        <w:rPr/>
      </w:pPr>
      <w:r>
        <w:rPr/>
      </w:r>
    </w:p>
    <w:p>
      <w:pPr>
        <w:pStyle w:val="Normal"/>
        <w:rPr/>
      </w:pPr>
      <w:r>
        <w:rPr/>
      </w:r>
    </w:p>
    <w:p>
      <w:pPr>
        <w:pStyle w:val="Normal"/>
        <w:numPr>
          <w:ilvl w:val="0"/>
          <w:numId w:val="2"/>
        </w:numPr>
        <w:rPr/>
      </w:pPr>
      <w:r>
        <w:rPr/>
        <w:t>Expected Delivery Date—It was suppose to be specified in the Release and not subject to being moved up (it could be moved back) without our approval.</w:t>
      </w:r>
    </w:p>
    <w:p>
      <w:pPr>
        <w:pStyle w:val="Normal"/>
        <w:rPr/>
      </w:pPr>
      <w:r>
        <w:rPr/>
      </w:r>
    </w:p>
    <w:p>
      <w:pPr>
        <w:pStyle w:val="Normal"/>
        <w:numPr>
          <w:ilvl w:val="0"/>
          <w:numId w:val="2"/>
        </w:numPr>
        <w:rPr/>
      </w:pPr>
      <w:r>
        <w:rPr/>
        <w:t>Facility—what does balance of plant mean?  Should this reference Purchaser Scope of Work to be specific.</w:t>
      </w:r>
    </w:p>
    <w:p>
      <w:pPr>
        <w:pStyle w:val="Normal"/>
        <w:rPr/>
      </w:pPr>
      <w:r>
        <w:rPr/>
      </w:r>
    </w:p>
    <w:p>
      <w:pPr>
        <w:pStyle w:val="Normal"/>
        <w:numPr>
          <w:ilvl w:val="0"/>
          <w:numId w:val="2"/>
        </w:numPr>
        <w:rPr/>
      </w:pPr>
      <w:r>
        <w:rPr/>
        <w:t>Maximum Unit Output—Need two definitions.  One definition to represent the maximum nameplated rating of the Units (i.e., we will never pay more than this).  One to represent the maximum capacity achieved during the Acceptance Tests and satisfying all the Performance Standards.  Using a single definition might lead to a problem and confusion.</w:t>
      </w:r>
    </w:p>
    <w:p>
      <w:pPr>
        <w:pStyle w:val="Normal"/>
        <w:rPr/>
      </w:pPr>
      <w:r>
        <w:rPr/>
      </w:r>
    </w:p>
    <w:p>
      <w:pPr>
        <w:pStyle w:val="Normal"/>
        <w:numPr>
          <w:ilvl w:val="0"/>
          <w:numId w:val="2"/>
        </w:numPr>
        <w:rPr/>
      </w:pPr>
      <w:r>
        <w:rPr/>
        <w:t>Section 2.1 (f)—Probably needs to be subject to CRRA’s approval.</w:t>
      </w:r>
    </w:p>
    <w:p>
      <w:pPr>
        <w:pStyle w:val="Normal"/>
        <w:rPr/>
      </w:pPr>
      <w:r>
        <w:rPr/>
      </w:r>
    </w:p>
    <w:p>
      <w:pPr>
        <w:pStyle w:val="Normal"/>
        <w:numPr>
          <w:ilvl w:val="0"/>
          <w:numId w:val="2"/>
        </w:numPr>
        <w:rPr/>
      </w:pPr>
      <w:r>
        <w:rPr/>
        <w:t>Section 2.3—What if there is an emergency such as an explosion or fire?</w:t>
      </w:r>
    </w:p>
    <w:p>
      <w:pPr>
        <w:pStyle w:val="Normal"/>
        <w:rPr/>
      </w:pPr>
      <w:r>
        <w:rPr/>
      </w:r>
    </w:p>
    <w:p>
      <w:pPr>
        <w:pStyle w:val="Normal"/>
        <w:numPr>
          <w:ilvl w:val="0"/>
          <w:numId w:val="2"/>
        </w:numPr>
        <w:rPr/>
      </w:pPr>
      <w:r>
        <w:rPr/>
        <w:t>Section 3.9—Notification should be in writing.  Purchaser should be able to not go forward if it so elects.</w:t>
      </w:r>
    </w:p>
    <w:p>
      <w:pPr>
        <w:pStyle w:val="Normal"/>
        <w:rPr/>
      </w:pPr>
      <w:r>
        <w:rPr/>
      </w:r>
    </w:p>
    <w:p>
      <w:pPr>
        <w:pStyle w:val="Normal"/>
        <w:numPr>
          <w:ilvl w:val="0"/>
          <w:numId w:val="2"/>
        </w:numPr>
        <w:rPr/>
      </w:pPr>
      <w:r>
        <w:rPr/>
        <w:t xml:space="preserve">Section 3.10 (b)—Should be 8,322 hours.  Permit Notice should relate to Fixed Specifications as well.   They make the first reference, but don’t carry it out through remainder of paragraph. </w:t>
      </w:r>
    </w:p>
    <w:p>
      <w:pPr>
        <w:pStyle w:val="Normal"/>
        <w:rPr/>
      </w:pPr>
      <w:r>
        <w:rPr/>
      </w:r>
    </w:p>
    <w:p>
      <w:pPr>
        <w:pStyle w:val="Normal"/>
        <w:numPr>
          <w:ilvl w:val="0"/>
          <w:numId w:val="2"/>
        </w:numPr>
        <w:rPr/>
      </w:pPr>
      <w:r>
        <w:rPr/>
        <w:t>Section 5.4—What about if FCE is late?  Does that constitute a termination for convenience.</w:t>
      </w:r>
    </w:p>
    <w:p>
      <w:pPr>
        <w:pStyle w:val="Normal"/>
        <w:rPr/>
      </w:pPr>
      <w:r>
        <w:rPr/>
      </w:r>
    </w:p>
    <w:p>
      <w:pPr>
        <w:pStyle w:val="Normal"/>
        <w:numPr>
          <w:ilvl w:val="0"/>
          <w:numId w:val="2"/>
        </w:numPr>
        <w:rPr/>
      </w:pPr>
      <w:r>
        <w:rPr/>
        <w:t>Section 8.1—Should Project Management Plan be updated monthly after the 7 month Release provision?</w:t>
      </w:r>
    </w:p>
    <w:p>
      <w:pPr>
        <w:pStyle w:val="Normal"/>
        <w:rPr/>
      </w:pPr>
      <w:r>
        <w:rPr/>
      </w:r>
    </w:p>
    <w:p>
      <w:pPr>
        <w:pStyle w:val="Normal"/>
        <w:numPr>
          <w:ilvl w:val="0"/>
          <w:numId w:val="2"/>
        </w:numPr>
        <w:rPr/>
      </w:pPr>
      <w:r>
        <w:rPr/>
        <w:t>Section 10.1—Definition of Unit Output does not work if test shows a lower value.</w:t>
      </w:r>
    </w:p>
    <w:p>
      <w:pPr>
        <w:pStyle w:val="Normal"/>
        <w:rPr/>
      </w:pPr>
      <w:r>
        <w:rPr/>
      </w:r>
    </w:p>
    <w:p>
      <w:pPr>
        <w:pStyle w:val="Normal"/>
        <w:numPr>
          <w:ilvl w:val="0"/>
          <w:numId w:val="2"/>
        </w:numPr>
        <w:rPr/>
      </w:pPr>
      <w:r>
        <w:rPr/>
        <w:t>Section 10.2.1, 10.2.2, 10.2.3, 10.2.4, and 10.2.5—See my old language.  Doesn’t conform.  Add titles.  Need to reference Water Discharge Quality and say if applicable.</w:t>
      </w:r>
    </w:p>
    <w:p>
      <w:pPr>
        <w:pStyle w:val="Normal"/>
        <w:rPr/>
      </w:pPr>
      <w:r>
        <w:rPr/>
      </w:r>
    </w:p>
    <w:p>
      <w:pPr>
        <w:pStyle w:val="Normal"/>
        <w:numPr>
          <w:ilvl w:val="0"/>
          <w:numId w:val="2"/>
        </w:numPr>
        <w:rPr/>
      </w:pPr>
      <w:r>
        <w:rPr/>
        <w:t>Section 10.3—Needs to conform to test protocol and be run at demonstrated output.</w:t>
      </w:r>
    </w:p>
    <w:p>
      <w:pPr>
        <w:pStyle w:val="Normal"/>
        <w:rPr/>
      </w:pPr>
      <w:r>
        <w:rPr/>
      </w:r>
    </w:p>
    <w:p>
      <w:pPr>
        <w:pStyle w:val="Normal"/>
        <w:numPr>
          <w:ilvl w:val="0"/>
          <w:numId w:val="2"/>
        </w:numPr>
        <w:rPr/>
      </w:pPr>
      <w:r>
        <w:rPr/>
        <w:t>Section 10.7—Doesn’t work because of Output definition.</w:t>
      </w:r>
    </w:p>
    <w:p>
      <w:pPr>
        <w:pStyle w:val="Normal"/>
        <w:rPr/>
      </w:pPr>
      <w:r>
        <w:rPr/>
      </w:r>
    </w:p>
    <w:p>
      <w:pPr>
        <w:pStyle w:val="Normal"/>
        <w:numPr>
          <w:ilvl w:val="0"/>
          <w:numId w:val="2"/>
        </w:numPr>
        <w:rPr/>
      </w:pPr>
      <w:r>
        <w:rPr/>
        <w:t>Section 11—Need brought qualifier that says something to the effect that prior to the submittal of the Final Specifications, Seller shall only be eligible for change orders for 1) approved permitting support work, 2) approved financing support work, 3) changes in law (to the extent that such change of law can not be incorporated into Seller’s Final Specifications without a material cost change, 4) explicit changes in Seller’s Scope of Work and 5) changes to the Fixed Specifications (not additions however).  Specifically excluded will be changes necessitated by Purchaser’s review of the Engineering Drawings and Final Specifications, unless those changes relate to the above.</w:t>
      </w:r>
    </w:p>
    <w:p>
      <w:pPr>
        <w:pStyle w:val="Normal"/>
        <w:rPr/>
      </w:pPr>
      <w:r>
        <w:rPr/>
      </w:r>
    </w:p>
    <w:p>
      <w:pPr>
        <w:pStyle w:val="Normal"/>
        <w:numPr>
          <w:ilvl w:val="0"/>
          <w:numId w:val="2"/>
        </w:numPr>
        <w:rPr/>
      </w:pPr>
      <w:r>
        <w:rPr/>
        <w:t>Section 11.6.2 ©--Should be “applicable sales or use taxes assessed and paid in conjunction with material purchases included in 11.6.2 (d).</w:t>
      </w:r>
    </w:p>
    <w:p>
      <w:pPr>
        <w:pStyle w:val="Normal"/>
        <w:rPr/>
      </w:pPr>
      <w:r>
        <w:rPr/>
      </w:r>
    </w:p>
    <w:p>
      <w:pPr>
        <w:pStyle w:val="Normal"/>
        <w:numPr>
          <w:ilvl w:val="0"/>
          <w:numId w:val="2"/>
        </w:numPr>
        <w:rPr/>
      </w:pPr>
      <w:r>
        <w:rPr/>
        <w:t>Section 14.1.2 (iv)—Should there be a materiality standard to the failure.</w:t>
      </w:r>
    </w:p>
    <w:p>
      <w:pPr>
        <w:pStyle w:val="Normal"/>
        <w:rPr/>
      </w:pPr>
      <w:r>
        <w:rPr/>
      </w:r>
    </w:p>
    <w:p>
      <w:pPr>
        <w:pStyle w:val="Normal"/>
        <w:numPr>
          <w:ilvl w:val="0"/>
          <w:numId w:val="2"/>
        </w:numPr>
        <w:rPr/>
      </w:pPr>
      <w:r>
        <w:rPr/>
        <w:t>Section 14.3—Still checking how to calculate.  Unit Output definition doesn’t work for two reasons.  1—Previous reasons stated.  2---Test maybe run for an individual stack not a Unit.</w:t>
      </w:r>
    </w:p>
    <w:p>
      <w:pPr>
        <w:pStyle w:val="Normal"/>
        <w:rPr/>
      </w:pPr>
      <w:r>
        <w:rPr/>
      </w:r>
    </w:p>
    <w:p>
      <w:pPr>
        <w:pStyle w:val="Normal"/>
        <w:numPr>
          <w:ilvl w:val="0"/>
          <w:numId w:val="2"/>
        </w:numPr>
        <w:rPr/>
      </w:pPr>
      <w:r>
        <w:rPr/>
        <w:t>Section 16—Please let me see when done.</w:t>
      </w:r>
    </w:p>
    <w:p>
      <w:pPr>
        <w:pStyle w:val="Normal"/>
        <w:rPr/>
      </w:pPr>
      <w:r>
        <w:rPr/>
      </w:r>
    </w:p>
    <w:p>
      <w:pPr>
        <w:pStyle w:val="Normal"/>
        <w:numPr>
          <w:ilvl w:val="0"/>
          <w:numId w:val="2"/>
        </w:numPr>
        <w:rPr/>
      </w:pPr>
      <w:r>
        <w:rPr/>
        <w:t>Section 19—Can I see David Marshall’s comments.</w:t>
      </w:r>
    </w:p>
    <w:p>
      <w:pPr>
        <w:pStyle w:val="Normal"/>
        <w:rPr/>
      </w:pPr>
      <w:r>
        <w:rPr/>
      </w:r>
    </w:p>
    <w:p>
      <w:pPr>
        <w:pStyle w:val="Normal"/>
        <w:numPr>
          <w:ilvl w:val="0"/>
          <w:numId w:val="2"/>
        </w:numPr>
        <w:rPr/>
      </w:pPr>
      <w:r>
        <w:rPr/>
        <w:t>Section 22.1—I don’t like Section 22.1 (I) and (ii).  What if credit was different?  Why should we allow them to assign.</w:t>
      </w:r>
    </w:p>
    <w:p>
      <w:pPr>
        <w:pStyle w:val="Normal"/>
        <w:rPr/>
      </w:pPr>
      <w:r>
        <w:rPr/>
      </w:r>
    </w:p>
    <w:p>
      <w:pPr>
        <w:pStyle w:val="Normal"/>
        <w:numPr>
          <w:ilvl w:val="0"/>
          <w:numId w:val="2"/>
        </w:numPr>
        <w:rPr/>
      </w:pPr>
      <w:r>
        <w:rPr/>
        <w:t xml:space="preserve">Section 22.2—I need to see our proposed language.  What is a “distributor” of fuel cells?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2000-11-20T18:27:00Z</dcterms:created>
  <dc:creator>shealy</dc:creator>
  <dc:description/>
  <dc:language>en-CA</dc:language>
  <cp:lastModifiedBy>shealy</cp:lastModifiedBy>
  <dcterms:modified xsi:type="dcterms:W3CDTF">2000-11-20T18:27:00Z</dcterms:modified>
  <cp:revision>2</cp:revision>
  <dc:subject/>
  <dc:title>1</dc:title>
</cp:coreProperties>
</file>