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t xml:space="preserve">SUMMARY OF TERMS </w:t>
      </w:r>
    </w:p>
    <w:p>
      <w:pPr>
        <w:pStyle w:val="Normal"/>
        <w:jc w:val="center"/>
        <w:rPr>
          <w:rFonts w:ascii="Times New Roman" w:hAnsi="Times New Roman" w:cs="Times New Roman"/>
          <w:b/>
          <w:sz w:val="24"/>
        </w:rPr>
      </w:pPr>
      <w:r>
        <w:rPr>
          <w:rFonts w:cs="Times New Roman" w:ascii="Times New Roman" w:hAnsi="Times New Roman"/>
          <w:b/>
          <w:sz w:val="24"/>
        </w:rPr>
        <w:t>FOR DISCUSSION PURPOSES ONLY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FuelCell Energy, Inc.</w:t>
      </w:r>
    </w:p>
    <w:p>
      <w:pPr>
        <w:pStyle w:val="Heading1"/>
        <w:spacing w:before="0" w:after="0"/>
        <w:ind w:hanging="0" w:start="0"/>
        <w:rPr>
          <w:rFonts w:ascii="Times New Roman" w:hAnsi="Times New Roman" w:cs="Times New Roman"/>
          <w:caps w:val="false"/>
          <w:smallCaps w:val="false"/>
          <w:sz w:val="24"/>
        </w:rPr>
      </w:pPr>
      <w:r>
        <w:rPr>
          <w:rFonts w:cs="Times New Roman" w:ascii="Times New Roman" w:hAnsi="Times New Roman"/>
          <w:caps w:val="false"/>
          <w:smallCaps w:val="false"/>
          <w:sz w:val="24"/>
        </w:rPr>
        <w:t>Strategic Alliance with Warrants</w:t>
        <w:br/>
        <w:t>September 20, 2000</w:t>
      </w:r>
    </w:p>
    <w:p>
      <w:pPr>
        <w:pStyle w:val="Normal"/>
        <w:jc w:val="both"/>
        <w:rPr>
          <w:rFonts w:ascii="Times New Roman" w:hAnsi="Times New Roman" w:cs="Times New Roman"/>
          <w:caps/>
          <w:sz w:val="24"/>
        </w:rPr>
      </w:pPr>
      <w:r>
        <w:rPr>
          <w:rFonts w:cs="Times New Roman" w:ascii="Times New Roman" w:hAnsi="Times New Roman"/>
          <w:caps/>
          <w:sz w:val="24"/>
        </w:rPr>
      </w:r>
    </w:p>
    <w:p>
      <w:pPr>
        <w:pStyle w:val="Normal"/>
        <w:ind w:hanging="3240" w:start="3240" w:end="0"/>
        <w:jc w:val="both"/>
        <w:rPr/>
      </w:pPr>
      <w:r>
        <w:rPr>
          <w:rFonts w:cs="Times New Roman" w:ascii="Times New Roman" w:hAnsi="Times New Roman"/>
          <w:b/>
          <w:sz w:val="24"/>
          <w:u w:val="single"/>
        </w:rPr>
        <w:t>Issuer</w:t>
      </w:r>
      <w:r>
        <w:rPr>
          <w:rFonts w:cs="Times New Roman" w:ascii="Times New Roman" w:hAnsi="Times New Roman"/>
          <w:b/>
          <w:sz w:val="24"/>
        </w:rPr>
        <w:t>:</w:t>
      </w:r>
      <w:r>
        <w:rPr>
          <w:rFonts w:cs="Times New Roman" w:ascii="Times New Roman" w:hAnsi="Times New Roman"/>
          <w:sz w:val="24"/>
        </w:rPr>
        <w:tab/>
        <w:t>FuelCell Energy, Inc. (the "Issuer").</w:t>
      </w:r>
    </w:p>
    <w:p>
      <w:pPr>
        <w:pStyle w:val="Normal"/>
        <w:ind w:hanging="3240" w:start="3240" w:end="0"/>
        <w:jc w:val="both"/>
        <w:rPr>
          <w:rFonts w:ascii="Times New Roman" w:hAnsi="Times New Roman" w:cs="Times New Roman"/>
          <w:sz w:val="24"/>
        </w:rPr>
      </w:pPr>
      <w:r>
        <w:rPr>
          <w:rFonts w:cs="Times New Roman" w:ascii="Times New Roman" w:hAnsi="Times New Roman"/>
          <w:sz w:val="24"/>
        </w:rPr>
      </w:r>
    </w:p>
    <w:p>
      <w:pPr>
        <w:pStyle w:val="Normal"/>
        <w:ind w:hanging="3240" w:start="3240" w:end="0"/>
        <w:jc w:val="both"/>
        <w:rPr>
          <w:rFonts w:ascii="Times New Roman" w:hAnsi="Times New Roman" w:cs="Times New Roman"/>
          <w:b/>
          <w:sz w:val="24"/>
          <w:u w:val="single"/>
        </w:rPr>
      </w:pPr>
      <w:r>
        <w:rPr>
          <w:rFonts w:cs="Times New Roman" w:ascii="Times New Roman" w:hAnsi="Times New Roman"/>
          <w:b/>
          <w:sz w:val="24"/>
          <w:u w:val="single"/>
        </w:rPr>
        <w:t>Purchaser</w:t>
      </w:r>
      <w:r>
        <w:rPr>
          <w:rFonts w:cs="Times New Roman" w:ascii="Times New Roman" w:hAnsi="Times New Roman"/>
          <w:b/>
          <w:sz w:val="24"/>
        </w:rPr>
        <w:t>:</w:t>
        <w:tab/>
      </w:r>
      <w:r>
        <w:rPr>
          <w:rFonts w:cs="Times New Roman" w:ascii="Times New Roman" w:hAnsi="Times New Roman"/>
          <w:sz w:val="24"/>
        </w:rPr>
        <w:t>Enron North America Corp. and/or its affiliates or designees (the "Purchaser").</w:t>
      </w:r>
    </w:p>
    <w:p>
      <w:pPr>
        <w:pStyle w:val="Normal"/>
        <w:ind w:hanging="3240" w:start="3240" w:end="0"/>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3240" w:start="3240" w:end="0"/>
        <w:jc w:val="both"/>
        <w:rPr/>
      </w:pPr>
      <w:r>
        <w:rPr>
          <w:rFonts w:cs="Times New Roman" w:ascii="Times New Roman" w:hAnsi="Times New Roman"/>
          <w:b/>
          <w:sz w:val="24"/>
          <w:u w:val="single"/>
        </w:rPr>
        <w:t>Strategic Alliance</w:t>
      </w:r>
      <w:r>
        <w:rPr>
          <w:rFonts w:cs="Times New Roman" w:ascii="Times New Roman" w:hAnsi="Times New Roman"/>
          <w:b/>
          <w:sz w:val="24"/>
        </w:rPr>
        <w:t>:</w:t>
        <w:tab/>
      </w:r>
      <w:r>
        <w:rPr>
          <w:rFonts w:cs="Times New Roman" w:ascii="Times New Roman" w:hAnsi="Times New Roman"/>
          <w:sz w:val="24"/>
        </w:rPr>
        <w:t>If mutually acceptable terms and conditions can be agreed upon, Issuer and Purchaser will execute a non-exclusive strategic alliance (“the Strategic Alliance”) governing the development of FuelCell Energy products in fuel cell farms towards state renewable energy and energy conservation programs.</w:t>
      </w:r>
    </w:p>
    <w:p>
      <w:pPr>
        <w:pStyle w:val="Normal"/>
        <w:ind w:hanging="2160" w:start="2160" w:end="0"/>
        <w:rPr>
          <w:rFonts w:ascii="Times New Roman" w:hAnsi="Times New Roman" w:cs="Times New Roman"/>
          <w:sz w:val="24"/>
        </w:rPr>
      </w:pPr>
      <w:r>
        <w:rPr>
          <w:rFonts w:cs="Times New Roman" w:ascii="Times New Roman" w:hAnsi="Times New Roman"/>
          <w:sz w:val="24"/>
        </w:rPr>
        <w:tab/>
      </w:r>
    </w:p>
    <w:p>
      <w:pPr>
        <w:pStyle w:val="Normal"/>
        <w:ind w:hanging="3240" w:start="3240" w:end="0"/>
        <w:jc w:val="both"/>
        <w:rPr/>
      </w:pPr>
      <w:r>
        <w:rPr>
          <w:rFonts w:cs="Times New Roman" w:ascii="Times New Roman" w:hAnsi="Times New Roman"/>
          <w:b/>
          <w:sz w:val="24"/>
          <w:u w:val="single"/>
        </w:rPr>
        <w:t>Warrants</w:t>
      </w:r>
      <w:r>
        <w:rPr>
          <w:rFonts w:cs="Times New Roman" w:ascii="Times New Roman" w:hAnsi="Times New Roman"/>
          <w:b/>
          <w:sz w:val="24"/>
        </w:rPr>
        <w:t>:</w:t>
      </w:r>
      <w:r>
        <w:rPr>
          <w:rFonts w:cs="Times New Roman" w:ascii="Times New Roman" w:hAnsi="Times New Roman"/>
          <w:sz w:val="24"/>
        </w:rPr>
        <w:tab/>
        <w:t>Upon closing of the Strategic Alliance agreement herein described, warrants exercisable for 1,300,000 shares of Common Stock of the Issuer shall be issued to the Purchaser at a price equal to the average of the last 30 days closing share price subject to normal antidilution adjustments (“Par”), plus the following premium over Par.</w:t>
      </w:r>
    </w:p>
    <w:p>
      <w:pPr>
        <w:pStyle w:val="Normal"/>
        <w:ind w:start="324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3192" w:type="dxa"/>
            <w:tcBorders/>
          </w:tcPr>
          <w:p>
            <w:pPr>
              <w:pStyle w:val="Heading1"/>
              <w:pBdr>
                <w:bottom w:val="single" w:sz="4" w:space="1" w:color="000000"/>
              </w:pBdr>
              <w:spacing w:before="0" w:after="0"/>
              <w:ind w:hanging="0" w:start="0"/>
              <w:rPr>
                <w:rFonts w:ascii="Times New Roman" w:hAnsi="Times New Roman" w:cs="Times New Roman"/>
                <w:caps w:val="false"/>
                <w:smallCaps w:val="false"/>
                <w:sz w:val="24"/>
              </w:rPr>
            </w:pPr>
            <w:r>
              <w:rPr>
                <w:rFonts w:cs="Times New Roman" w:ascii="Times New Roman" w:hAnsi="Times New Roman"/>
                <w:caps w:val="false"/>
                <w:smallCaps w:val="false"/>
                <w:sz w:val="24"/>
              </w:rPr>
              <w:t>Number of Warrants</w:t>
            </w:r>
          </w:p>
        </w:tc>
        <w:tc>
          <w:tcPr>
            <w:tcW w:w="3192" w:type="dxa"/>
            <w:tcBorders/>
          </w:tcPr>
          <w:p>
            <w:pPr>
              <w:pStyle w:val="Normal"/>
              <w:pBdr>
                <w:bottom w:val="single" w:sz="4" w:space="1" w:color="000000"/>
              </w:pBdr>
              <w:jc w:val="center"/>
              <w:rPr>
                <w:rFonts w:ascii="Times New Roman" w:hAnsi="Times New Roman" w:cs="Times New Roman"/>
                <w:b/>
                <w:sz w:val="24"/>
              </w:rPr>
            </w:pPr>
            <w:r>
              <w:rPr>
                <w:rFonts w:cs="Times New Roman" w:ascii="Times New Roman" w:hAnsi="Times New Roman"/>
                <w:b/>
                <w:sz w:val="24"/>
              </w:rPr>
              <w:t>Premium over Par</w:t>
            </w:r>
          </w:p>
        </w:tc>
      </w:tr>
      <w:tr>
        <w:trPr/>
        <w:tc>
          <w:tcPr>
            <w:tcW w:w="3192" w:type="dxa"/>
            <w:tcBorders/>
          </w:tcPr>
          <w:p>
            <w:pPr>
              <w:pStyle w:val="Normal"/>
              <w:snapToGrid w:val="false"/>
              <w:jc w:val="both"/>
              <w:rPr>
                <w:rFonts w:ascii="Times New Roman" w:hAnsi="Times New Roman" w:cs="Times New Roman"/>
                <w:b/>
                <w:sz w:val="24"/>
              </w:rPr>
            </w:pPr>
            <w:r>
              <w:rPr>
                <w:rFonts w:cs="Times New Roman" w:ascii="Times New Roman" w:hAnsi="Times New Roman"/>
                <w:b/>
                <w:sz w:val="24"/>
              </w:rPr>
            </w:r>
          </w:p>
        </w:tc>
        <w:tc>
          <w:tcPr>
            <w:tcW w:w="3192" w:type="dxa"/>
            <w:tcBorders/>
          </w:tcPr>
          <w:p>
            <w:pPr>
              <w:pStyle w:val="Normal"/>
              <w:jc w:val="center"/>
              <w:rPr>
                <w:rFonts w:ascii="Times New Roman" w:hAnsi="Times New Roman" w:cs="Times New Roman"/>
                <w:sz w:val="24"/>
              </w:rPr>
            </w:pPr>
            <w:r>
              <w:rPr>
                <w:rFonts w:cs="Times New Roman" w:ascii="Times New Roman" w:hAnsi="Times New Roman"/>
                <w:sz w:val="24"/>
              </w:rPr>
              <w:t>400,000</w:t>
            </w:r>
          </w:p>
        </w:tc>
        <w:tc>
          <w:tcPr>
            <w:tcW w:w="3192" w:type="dxa"/>
            <w:tcBorders/>
          </w:tcPr>
          <w:p>
            <w:pPr>
              <w:pStyle w:val="Normal"/>
              <w:jc w:val="center"/>
              <w:rPr>
                <w:rFonts w:ascii="Times New Roman" w:hAnsi="Times New Roman" w:cs="Times New Roman"/>
                <w:sz w:val="24"/>
              </w:rPr>
            </w:pPr>
            <w:r>
              <w:rPr>
                <w:rFonts w:cs="Times New Roman" w:ascii="Times New Roman" w:hAnsi="Times New Roman"/>
                <w:sz w:val="24"/>
              </w:rPr>
              <w:t>0%</w:t>
            </w:r>
          </w:p>
        </w:tc>
      </w:tr>
      <w:tr>
        <w:trPr/>
        <w:tc>
          <w:tcPr>
            <w:tcW w:w="3192"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3192" w:type="dxa"/>
            <w:tcBorders/>
          </w:tcPr>
          <w:p>
            <w:pPr>
              <w:pStyle w:val="Normal"/>
              <w:jc w:val="center"/>
              <w:rPr>
                <w:rFonts w:ascii="Times New Roman" w:hAnsi="Times New Roman" w:cs="Times New Roman"/>
                <w:sz w:val="24"/>
              </w:rPr>
            </w:pPr>
            <w:r>
              <w:rPr>
                <w:rFonts w:cs="Times New Roman" w:ascii="Times New Roman" w:hAnsi="Times New Roman"/>
                <w:sz w:val="24"/>
              </w:rPr>
              <w:t>300,000</w:t>
            </w:r>
          </w:p>
        </w:tc>
        <w:tc>
          <w:tcPr>
            <w:tcW w:w="3192" w:type="dxa"/>
            <w:tcBorders/>
          </w:tcPr>
          <w:p>
            <w:pPr>
              <w:pStyle w:val="Normal"/>
              <w:jc w:val="center"/>
              <w:rPr>
                <w:rFonts w:ascii="Times New Roman" w:hAnsi="Times New Roman" w:cs="Times New Roman"/>
                <w:sz w:val="24"/>
              </w:rPr>
            </w:pPr>
            <w:r>
              <w:rPr>
                <w:rFonts w:cs="Times New Roman" w:ascii="Times New Roman" w:hAnsi="Times New Roman"/>
                <w:sz w:val="24"/>
              </w:rPr>
              <w:t>10%</w:t>
            </w:r>
          </w:p>
        </w:tc>
      </w:tr>
      <w:tr>
        <w:trPr/>
        <w:tc>
          <w:tcPr>
            <w:tcW w:w="3192"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3192" w:type="dxa"/>
            <w:tcBorders/>
          </w:tcPr>
          <w:p>
            <w:pPr>
              <w:pStyle w:val="Normal"/>
              <w:jc w:val="center"/>
              <w:rPr>
                <w:rFonts w:ascii="Times New Roman" w:hAnsi="Times New Roman" w:cs="Times New Roman"/>
                <w:sz w:val="24"/>
              </w:rPr>
            </w:pPr>
            <w:r>
              <w:rPr>
                <w:rFonts w:cs="Times New Roman" w:ascii="Times New Roman" w:hAnsi="Times New Roman"/>
                <w:sz w:val="24"/>
              </w:rPr>
              <w:t>300,000</w:t>
            </w:r>
          </w:p>
        </w:tc>
        <w:tc>
          <w:tcPr>
            <w:tcW w:w="3192" w:type="dxa"/>
            <w:tcBorders/>
          </w:tcPr>
          <w:p>
            <w:pPr>
              <w:pStyle w:val="Normal"/>
              <w:jc w:val="center"/>
              <w:rPr>
                <w:rFonts w:ascii="Times New Roman" w:hAnsi="Times New Roman" w:cs="Times New Roman"/>
                <w:sz w:val="24"/>
              </w:rPr>
            </w:pPr>
            <w:r>
              <w:rPr>
                <w:rFonts w:cs="Times New Roman" w:ascii="Times New Roman" w:hAnsi="Times New Roman"/>
                <w:sz w:val="24"/>
              </w:rPr>
              <w:t>20%</w:t>
            </w:r>
          </w:p>
        </w:tc>
      </w:tr>
      <w:tr>
        <w:trPr/>
        <w:tc>
          <w:tcPr>
            <w:tcW w:w="3192"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3192" w:type="dxa"/>
            <w:tcBorders/>
          </w:tcPr>
          <w:p>
            <w:pPr>
              <w:pStyle w:val="Normal"/>
              <w:jc w:val="center"/>
              <w:rPr>
                <w:rFonts w:ascii="Times New Roman" w:hAnsi="Times New Roman" w:cs="Times New Roman"/>
                <w:sz w:val="24"/>
              </w:rPr>
            </w:pPr>
            <w:r>
              <w:rPr>
                <w:rFonts w:cs="Times New Roman" w:ascii="Times New Roman" w:hAnsi="Times New Roman"/>
                <w:sz w:val="24"/>
              </w:rPr>
              <w:t>300,000</w:t>
            </w:r>
          </w:p>
        </w:tc>
        <w:tc>
          <w:tcPr>
            <w:tcW w:w="3192" w:type="dxa"/>
            <w:tcBorders/>
          </w:tcPr>
          <w:p>
            <w:pPr>
              <w:pStyle w:val="Normal"/>
              <w:jc w:val="center"/>
              <w:rPr>
                <w:rFonts w:ascii="Times New Roman" w:hAnsi="Times New Roman" w:cs="Times New Roman"/>
                <w:sz w:val="24"/>
              </w:rPr>
            </w:pPr>
            <w:r>
              <w:rPr>
                <w:rFonts w:cs="Times New Roman" w:ascii="Times New Roman" w:hAnsi="Times New Roman"/>
                <w:sz w:val="24"/>
              </w:rPr>
              <w:t>30%</w:t>
            </w:r>
          </w:p>
        </w:tc>
      </w:tr>
    </w:tbl>
    <w:p>
      <w:pPr>
        <w:pStyle w:val="Normal"/>
        <w:ind w:start="3240" w:end="0"/>
        <w:jc w:val="both"/>
        <w:rPr>
          <w:rFonts w:ascii="Times New Roman" w:hAnsi="Times New Roman" w:cs="Times New Roman"/>
          <w:sz w:val="24"/>
        </w:rPr>
      </w:pPr>
      <w:r>
        <w:rPr>
          <w:rFonts w:cs="Times New Roman" w:ascii="Times New Roman" w:hAnsi="Times New Roman"/>
          <w:sz w:val="24"/>
        </w:rPr>
      </w:r>
    </w:p>
    <w:p>
      <w:pPr>
        <w:pStyle w:val="Normal"/>
        <w:ind w:start="3240" w:end="0"/>
        <w:jc w:val="both"/>
        <w:rPr>
          <w:rFonts w:ascii="Times New Roman" w:hAnsi="Times New Roman" w:cs="Times New Roman"/>
          <w:sz w:val="24"/>
        </w:rPr>
      </w:pPr>
      <w:r>
        <w:rPr>
          <w:rFonts w:cs="Times New Roman" w:ascii="Times New Roman" w:hAnsi="Times New Roman"/>
          <w:sz w:val="24"/>
        </w:rPr>
        <w:t>These warrants issued to the Purchaser are subject to the following conditions.</w:t>
      </w:r>
    </w:p>
    <w:p>
      <w:pPr>
        <w:pStyle w:val="Normal"/>
        <w:ind w:start="3240" w:end="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Upon signing this agreement with Issuer, Purchaser shall immediately purchase $5 million of equity shares at Par.  There will be a six month restriction on the resale of these shares.</w:t>
        <w:b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Purchaser shall directly or indirectly cause orders to be placed for 60 MW of Issuer’s fuel cell products within two years from the closing of the Strategic Alliance Agreement.</w:t>
        <w:br/>
      </w:r>
    </w:p>
    <w:p>
      <w:pPr>
        <w:pStyle w:val="Normal"/>
        <w:ind w:hanging="360" w:start="3600" w:end="0"/>
        <w:jc w:val="both"/>
        <w:rPr>
          <w:rFonts w:ascii="Times New Roman" w:hAnsi="Times New Roman" w:cs="Times New Roman"/>
          <w:sz w:val="24"/>
        </w:rPr>
      </w:pPr>
      <w:r>
        <w:rPr>
          <w:rFonts w:cs="Times New Roman" w:ascii="Times New Roman" w:hAnsi="Times New Roman"/>
          <w:sz w:val="24"/>
        </w:rPr>
        <w:t>c)</w:t>
        <w:tab/>
        <w:t>If Purchaser does not directly or indirectly cause orders for 60 MW of Issuer’s fuel cell products within two years from the closing of the Strategic Alliance Agreement, the warrants will expire and Purchaser will have no further claim to these warrants.</w:t>
      </w:r>
    </w:p>
    <w:p>
      <w:pPr>
        <w:pStyle w:val="Normal"/>
        <w:ind w:start="3240" w:end="0"/>
        <w:jc w:val="both"/>
        <w:rPr>
          <w:rFonts w:ascii="Times New Roman" w:hAnsi="Times New Roman" w:cs="Times New Roman"/>
          <w:sz w:val="24"/>
        </w:rPr>
      </w:pPr>
      <w:r>
        <w:rPr>
          <w:rFonts w:cs="Times New Roman" w:ascii="Times New Roman" w:hAnsi="Times New Roman"/>
          <w:sz w:val="24"/>
        </w:rPr>
      </w:r>
    </w:p>
    <w:p>
      <w:pPr>
        <w:pStyle w:val="Normal"/>
        <w:ind w:hanging="360" w:start="3600" w:end="0"/>
        <w:jc w:val="both"/>
        <w:rPr>
          <w:rFonts w:ascii="Times New Roman" w:hAnsi="Times New Roman" w:cs="Times New Roman"/>
          <w:sz w:val="24"/>
        </w:rPr>
      </w:pPr>
      <w:r>
        <w:rPr>
          <w:rFonts w:cs="Times New Roman" w:ascii="Times New Roman" w:hAnsi="Times New Roman"/>
          <w:sz w:val="24"/>
        </w:rPr>
        <w:t>d)</w:t>
        <w:tab/>
        <w:t>If Purchaser places orders for 60 MW of fuel cells in order to vest in the warrants but does not exercise the warrants, the warrants will expire [two] years from closing of the Strategic Alliance Agreement.</w:t>
      </w:r>
    </w:p>
    <w:p>
      <w:pPr>
        <w:pStyle w:val="Normal"/>
        <w:ind w:start="3240" w:end="0"/>
        <w:jc w:val="both"/>
        <w:rPr>
          <w:rFonts w:ascii="Times New Roman" w:hAnsi="Times New Roman" w:cs="Times New Roman"/>
          <w:sz w:val="24"/>
        </w:rPr>
      </w:pPr>
      <w:r>
        <w:rPr>
          <w:rFonts w:cs="Times New Roman" w:ascii="Times New Roman" w:hAnsi="Times New Roman"/>
          <w:sz w:val="24"/>
        </w:rPr>
      </w:r>
    </w:p>
    <w:p>
      <w:pPr>
        <w:pStyle w:val="Normal"/>
        <w:ind w:hanging="3240" w:start="3240" w:end="0"/>
        <w:jc w:val="both"/>
        <w:rPr/>
      </w:pPr>
      <w:r>
        <w:rPr>
          <w:rFonts w:cs="Times New Roman" w:ascii="Times New Roman" w:hAnsi="Times New Roman"/>
          <w:b/>
          <w:sz w:val="24"/>
          <w:u w:val="single"/>
        </w:rPr>
        <w:t>Ownership</w:t>
      </w:r>
      <w:r>
        <w:rPr>
          <w:rFonts w:cs="Times New Roman" w:ascii="Times New Roman" w:hAnsi="Times New Roman"/>
          <w:b/>
          <w:sz w:val="24"/>
        </w:rPr>
        <w:t>:</w:t>
      </w:r>
      <w:r>
        <w:rPr>
          <w:rFonts w:cs="Times New Roman" w:ascii="Times New Roman" w:hAnsi="Times New Roman"/>
          <w:sz w:val="24"/>
        </w:rPr>
        <w:tab/>
        <w:t>As a result of the consummation of the proposed investment, the Purchaser would beneficially own [8.46%] of the Common Stock outstanding on a fully diluted basis assuming (based on 15,370,000 diluted shares outstanding as of September 20, 2000).</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hanging="3240" w:start="3240" w:end="0"/>
        <w:jc w:val="both"/>
        <w:rPr/>
      </w:pPr>
      <w:r>
        <w:rPr>
          <w:rFonts w:cs="Times New Roman" w:ascii="Times New Roman" w:hAnsi="Times New Roman"/>
          <w:b/>
          <w:sz w:val="24"/>
          <w:u w:val="single"/>
        </w:rPr>
        <w:t>Closing</w:t>
      </w:r>
      <w:r>
        <w:rPr>
          <w:rFonts w:cs="Times New Roman" w:ascii="Times New Roman" w:hAnsi="Times New Roman"/>
          <w:b/>
          <w:sz w:val="24"/>
        </w:rPr>
        <w:t>:</w:t>
      </w:r>
      <w:r>
        <w:rPr>
          <w:rFonts w:cs="Times New Roman" w:ascii="Times New Roman" w:hAnsi="Times New Roman"/>
          <w:sz w:val="24"/>
        </w:rPr>
        <w:tab/>
        <w:t>Conditions precedent to closing shall include, but not be limited to:</w:t>
      </w:r>
    </w:p>
    <w:p>
      <w:pPr>
        <w:pStyle w:val="Normal"/>
        <w:keepNext w:val="true"/>
        <w:ind w:hanging="3240" w:start="3240" w:end="0"/>
        <w:jc w:val="both"/>
        <w:rPr>
          <w:rFonts w:ascii="Times New Roman" w:hAnsi="Times New Roman" w:cs="Times New Roman"/>
          <w:sz w:val="24"/>
        </w:rPr>
      </w:pPr>
      <w:r>
        <w:rPr>
          <w:rFonts w:cs="Times New Roman" w:ascii="Times New Roman" w:hAnsi="Times New Roman"/>
          <w:sz w:val="24"/>
        </w:rPr>
      </w:r>
    </w:p>
    <w:p>
      <w:pPr>
        <w:pStyle w:val="Normal"/>
        <w:numPr>
          <w:ilvl w:val="0"/>
          <w:numId w:val="3"/>
        </w:numPr>
        <w:ind w:hanging="540" w:start="3780" w:end="0"/>
        <w:jc w:val="both"/>
        <w:rPr>
          <w:rFonts w:ascii="Times New Roman" w:hAnsi="Times New Roman" w:cs="Times New Roman"/>
          <w:sz w:val="24"/>
        </w:rPr>
      </w:pPr>
      <w:r>
        <w:rPr>
          <w:rFonts w:cs="Times New Roman" w:ascii="Times New Roman" w:hAnsi="Times New Roman"/>
          <w:sz w:val="24"/>
        </w:rPr>
        <w:t>Purchaser and Issuer shall provide a record outlining the terms and conditions of the transaction contemplated with the State of Connecticut as currently known by each party to establish a unity of knowledge regarding the transaction.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3"/>
        </w:numPr>
        <w:ind w:hanging="547" w:start="3787" w:end="0"/>
        <w:jc w:val="both"/>
        <w:rPr>
          <w:rFonts w:ascii="Times New Roman" w:hAnsi="Times New Roman" w:cs="Times New Roman"/>
          <w:sz w:val="24"/>
        </w:rPr>
      </w:pPr>
      <w:r>
        <w:rPr>
          <w:rFonts w:cs="Times New Roman" w:ascii="Times New Roman" w:hAnsi="Times New Roman"/>
          <w:sz w:val="24"/>
        </w:rPr>
        <w:t>Purchaser’s and Issuer’s approval of the transaction.</w:t>
      </w:r>
    </w:p>
    <w:p>
      <w:pPr>
        <w:pStyle w:val="Normal"/>
        <w:numPr>
          <w:ilvl w:val="0"/>
          <w:numId w:val="0"/>
        </w:numPr>
        <w:ind w:hanging="540" w:start="3780" w:end="0"/>
        <w:jc w:val="both"/>
        <w:rPr>
          <w:rFonts w:ascii="Times New Roman" w:hAnsi="Times New Roman" w:cs="Times New Roman"/>
          <w:sz w:val="24"/>
        </w:rPr>
      </w:pPr>
      <w:r>
        <w:rPr>
          <w:rFonts w:cs="Times New Roman" w:ascii="Times New Roman" w:hAnsi="Times New Roman"/>
          <w:sz w:val="24"/>
        </w:rPr>
      </w:r>
    </w:p>
    <w:p>
      <w:pPr>
        <w:pStyle w:val="Normal"/>
        <w:numPr>
          <w:ilvl w:val="0"/>
          <w:numId w:val="3"/>
        </w:numPr>
        <w:ind w:hanging="547" w:start="3787" w:end="0"/>
        <w:jc w:val="both"/>
        <w:rPr>
          <w:rFonts w:ascii="Times New Roman" w:hAnsi="Times New Roman" w:cs="Times New Roman"/>
          <w:sz w:val="24"/>
        </w:rPr>
      </w:pPr>
      <w:r>
        <w:rPr>
          <w:rFonts w:cs="Times New Roman" w:ascii="Times New Roman" w:hAnsi="Times New Roman"/>
          <w:sz w:val="24"/>
        </w:rPr>
        <w:t>Other information and documents contemplated by definitive agreements as the Purchaser may reasonably request shall be provided.</w:t>
      </w:r>
    </w:p>
    <w:p>
      <w:pPr>
        <w:pStyle w:val="Normal"/>
        <w:ind w:hanging="3240" w:start="3240" w:end="0"/>
        <w:jc w:val="both"/>
        <w:rPr>
          <w:rFonts w:ascii="Times New Roman" w:hAnsi="Times New Roman" w:cs="Times New Roman"/>
          <w:b/>
          <w:sz w:val="24"/>
          <w:u w:val="single"/>
        </w:rPr>
      </w:pPr>
      <w:r>
        <w:rPr>
          <w:rFonts w:cs="Times New Roman" w:ascii="Times New Roman" w:hAnsi="Times New Roman"/>
          <w:b/>
          <w:sz w:val="24"/>
          <w:u w:val="single"/>
        </w:rPr>
      </w:r>
    </w:p>
    <w:p>
      <w:pPr>
        <w:pStyle w:val="Normal"/>
        <w:ind w:hanging="3240" w:start="3240" w:end="0"/>
        <w:jc w:val="both"/>
        <w:rPr/>
      </w:pPr>
      <w:r>
        <w:rPr>
          <w:rFonts w:cs="Times New Roman" w:ascii="Times New Roman" w:hAnsi="Times New Roman"/>
          <w:b/>
          <w:sz w:val="24"/>
          <w:u w:val="single"/>
        </w:rPr>
        <w:t>Arbitration</w:t>
      </w:r>
      <w:r>
        <w:rPr>
          <w:rFonts w:cs="Times New Roman" w:ascii="Times New Roman" w:hAnsi="Times New Roman"/>
          <w:b/>
          <w:sz w:val="24"/>
        </w:rPr>
        <w:t>:</w:t>
        <w:tab/>
      </w:r>
      <w:r>
        <w:rPr>
          <w:rFonts w:cs="Times New Roman" w:ascii="Times New Roman" w:hAnsi="Times New Roman"/>
          <w:sz w:val="24"/>
        </w:rPr>
        <w:t>The settlement of disputes or other matters involving Purchaser and Issuer or any equity investor shall be through arbitration held in alternative venues between Harris County, Texas and Fairfield County, Connecticut with the first meeting to be held in Fairfield County, Connecticut. [To Be Discussed with FCE]</w:t>
      </w:r>
    </w:p>
    <w:p>
      <w:pPr>
        <w:pStyle w:val="Normal"/>
        <w:ind w:hanging="3240" w:start="3240" w:end="0"/>
        <w:jc w:val="both"/>
        <w:rPr>
          <w:rFonts w:ascii="Times New Roman" w:hAnsi="Times New Roman" w:cs="Times New Roman"/>
          <w:sz w:val="24"/>
        </w:rPr>
      </w:pPr>
      <w:r>
        <w:rPr>
          <w:rFonts w:cs="Times New Roman" w:ascii="Times New Roman" w:hAnsi="Times New Roman"/>
          <w:sz w:val="24"/>
        </w:rPr>
      </w:r>
    </w:p>
    <w:p>
      <w:pPr>
        <w:pStyle w:val="Normal"/>
        <w:ind w:hanging="3240" w:start="3240" w:end="0"/>
        <w:jc w:val="both"/>
        <w:rPr/>
      </w:pPr>
      <w:r>
        <w:rPr>
          <w:rFonts w:cs="Times New Roman" w:ascii="Times New Roman" w:hAnsi="Times New Roman"/>
          <w:b/>
          <w:sz w:val="24"/>
          <w:u w:val="single"/>
        </w:rPr>
        <w:t>Fees and Expenses:</w:t>
      </w:r>
      <w:r>
        <w:rPr>
          <w:rFonts w:cs="Times New Roman" w:ascii="Times New Roman" w:hAnsi="Times New Roman"/>
          <w:sz w:val="24"/>
        </w:rPr>
        <w:tab/>
        <w:t>Upon closing of the proposed transaction, the Issuer shall pay all of the Purchaser’s legal fees, professional fees and other transaction costs incurred in the evaluation and negotiation of the proposed transaction.  [Limit on fees]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t>THIS SUMMARY OF TERMS IS NOT COMPLETE AND ALL-INCLUSIVE OF THE TERMS OF THE PROPOSED TRANSACTIONS, IS FOR DISCUSSION PURPOSES ONLY AND DOES NOT CREATE, AND IS NOT INTENDED TO CREATE, A BINDING OR ENFORCEABLE CONTRACT BETWEEN THE PARTIES OR ANY DUTY ON ANY PERSON TO NEGOTIATE TOWARD A BINDING CONTRACT.  THIS SUMMARY MAY NOT BE RELIED UPON BY ANY PERSON AS THE BASIS FOR A CONTRACT BY ESTOPPEL OR OTHERWISE.</w:t>
      </w:r>
    </w:p>
    <w:p>
      <w:pPr>
        <w:pStyle w:val="Normal"/>
        <w:ind w:hanging="3240" w:start="3240" w:end="0"/>
        <w:jc w:val="both"/>
        <w:rPr>
          <w:rFonts w:ascii="Times New Roman" w:hAnsi="Times New Roman" w:cs="Times New Roman"/>
          <w:b/>
          <w:sz w:val="24"/>
        </w:rPr>
      </w:pPr>
      <w:r>
        <w:rPr>
          <w:rFonts w:cs="Times New Roman" w:ascii="Times New Roman" w:hAnsi="Times New Roman"/>
          <w:b/>
          <w:sz w:val="24"/>
        </w:rPr>
      </w:r>
    </w:p>
    <w:p>
      <w:pPr>
        <w:pStyle w:val="Normal"/>
        <w:ind w:hanging="3240" w:start="3240" w:end="0"/>
        <w:jc w:val="both"/>
        <w:rPr>
          <w:rFonts w:ascii="Times New Roman" w:hAnsi="Times New Roman" w:cs="Times New Roman"/>
          <w:b/>
          <w:sz w:val="24"/>
        </w:rPr>
      </w:pPr>
      <w:r>
        <w:rPr>
          <w:rFonts w:cs="Times New Roman" w:ascii="Times New Roman" w:hAnsi="Times New Roman"/>
          <w:b/>
          <w:sz w:val="24"/>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6"/>
      </w:rPr>
      <w:t>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r>
      <w:rPr>
        <w:rStyle w:val="PageNumber"/>
        <w:sz w:val="16"/>
      </w:rPr>
      <w:t>-</w:t>
    </w:r>
  </w:p>
  <w:p>
    <w:pPr>
      <w:pStyle w:val="Footer"/>
      <w:rPr>
        <w:rStyle w:val="PageNumber"/>
        <w:sz w:val="16"/>
      </w:rPr>
    </w:pPr>
    <w:r>
      <w:rPr/>
    </w:r>
  </w:p>
  <w:p>
    <w:pPr>
      <w:pStyle w:val="Footer"/>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0"/>
        </w:tabs>
        <w:ind w:start="3600" w:hanging="360"/>
      </w:pPr>
      <w:rPr/>
    </w:lvl>
  </w:abstractNum>
  <w:abstractNum w:abstractNumId="3">
    <w:lvl w:ilvl="0">
      <w:start w:val="1"/>
      <w:numFmt w:val="decimal"/>
      <w:lvlText w:val="%1)"/>
      <w:lvlJc w:val="start"/>
      <w:pPr>
        <w:tabs>
          <w:tab w:val="num" w:pos="36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BodyText"/>
    <w:qFormat/>
    <w:pPr>
      <w:numPr>
        <w:ilvl w:val="2"/>
        <w:numId w:val="1"/>
      </w:numPr>
      <w:spacing w:before="0" w:after="120"/>
      <w:ind w:hanging="0" w:start="1440" w:end="1440"/>
      <w:jc w:val="both"/>
      <w:outlineLvl w:val="2"/>
    </w:pPr>
    <w:rPr>
      <w:sz w:val="26"/>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rPr>
  </w:style>
  <w:style w:type="paragraph" w:styleId="Heading6">
    <w:name w:val="heading 6"/>
    <w:basedOn w:val="Normal"/>
    <w:next w:val="BodyText"/>
    <w:qFormat/>
    <w:pPr>
      <w:numPr>
        <w:ilvl w:val="5"/>
        <w:numId w:val="1"/>
      </w:numPr>
      <w:spacing w:before="0" w:after="120"/>
      <w:ind w:hanging="0" w:start="1440" w:end="720"/>
      <w:jc w:val="both"/>
      <w:outlineLvl w:val="5"/>
    </w:pPr>
    <w:rPr>
      <w:sz w:val="26"/>
    </w:rPr>
  </w:style>
  <w:style w:type="paragraph" w:styleId="Heading7">
    <w:name w:val="heading 7"/>
    <w:basedOn w:val="Normal"/>
    <w:next w:val="BodyText"/>
    <w:qFormat/>
    <w:pPr>
      <w:numPr>
        <w:ilvl w:val="6"/>
        <w:numId w:val="1"/>
      </w:numPr>
      <w:spacing w:before="0" w:after="120"/>
      <w:ind w:hanging="720" w:start="2880" w:end="720"/>
      <w:jc w:val="both"/>
      <w:outlineLvl w:val="6"/>
    </w:pPr>
    <w:rPr>
      <w:sz w:val="26"/>
    </w:rPr>
  </w:style>
  <w:style w:type="paragraph" w:styleId="Heading8">
    <w:name w:val="heading 8"/>
    <w:basedOn w:val="Normal"/>
    <w:next w:val="Normal"/>
    <w:qFormat/>
    <w:pPr>
      <w:keepNext w:val="true"/>
      <w:numPr>
        <w:ilvl w:val="7"/>
        <w:numId w:val="1"/>
      </w:numPr>
      <w:ind w:hanging="3240" w:start="3240" w:end="0"/>
      <w:jc w:val="both"/>
      <w:outlineLvl w:val="7"/>
    </w:pPr>
    <w:rPr>
      <w:rFonts w:ascii="Times New Roman" w:hAnsi="Times New Roman" w:cs="Times New Roman"/>
      <w:b/>
      <w:u w:val="single"/>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z w:val="26"/>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z w:val="26"/>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4"/>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240" w:end="0"/>
      <w:jc w:val="both"/>
    </w:pPr>
    <w:rPr>
      <w:rFonts w:ascii="Times New Roman" w:hAnsi="Times New Roman" w:cs="Times New Roman"/>
    </w:rPr>
  </w:style>
  <w:style w:type="paragraph" w:styleId="BodyTextIndent2">
    <w:name w:val="Body Text Indent 2"/>
    <w:basedOn w:val="Normal"/>
    <w:qFormat/>
    <w:pPr>
      <w:ind w:hanging="2160" w:start="2160" w:end="0"/>
    </w:pPr>
    <w:rPr>
      <w:rFonts w:ascii="Times New Roman" w:hAnsi="Times New Roman" w:cs="Times New Roman"/>
      <w:sz w:val="24"/>
    </w:rPr>
  </w:style>
  <w:style w:type="paragraph" w:styleId="BodyTextIndent3">
    <w:name w:val="Body Text Indent 3"/>
    <w:basedOn w:val="Normal"/>
    <w:qFormat/>
    <w:pPr>
      <w:ind w:hanging="3240" w:start="324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2000-09-20T22:44:00Z</dcterms:created>
  <dc:creator>ECT</dc:creator>
  <dc:description/>
  <dc:language>en-CA</dc:language>
  <cp:lastModifiedBy>hkroll</cp:lastModifiedBy>
  <cp:lastPrinted>2000-09-20T20:26:00Z</cp:lastPrinted>
  <dcterms:modified xsi:type="dcterms:W3CDTF">2000-09-20T23:22:00Z</dcterms:modified>
  <cp:revision>7</cp:revision>
  <dc:subject>Convertible Preferred Stock</dc:subject>
  <dc:title>Venoco, Inc.</dc:title>
</cp:coreProperties>
</file>