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 xml:space="preserve">BANDWIDTH TRADING: ESSENTIAL TO </w:t>
      </w:r>
    </w:p>
    <w:p>
      <w:pPr>
        <w:pStyle w:val="Normal"/>
        <w:jc w:val="center"/>
        <w:rPr>
          <w:b/>
          <w:sz w:val="28"/>
        </w:rPr>
      </w:pPr>
      <w:r>
        <w:rPr>
          <w:b/>
          <w:sz w:val="28"/>
        </w:rPr>
        <w:t>UBIQUITOUS HIGH SPEED SERVICE FOR ALL</w:t>
      </w:r>
    </w:p>
    <w:p>
      <w:pPr>
        <w:pStyle w:val="Normal"/>
        <w:jc w:val="center"/>
        <w:rPr>
          <w:b/>
          <w:i/>
          <w:i/>
          <w:sz w:val="28"/>
        </w:rPr>
      </w:pPr>
      <w:r>
        <w:rPr>
          <w:b/>
          <w:i/>
          <w:sz w:val="28"/>
        </w:rPr>
        <w:t>DYNEGY GLOBAL COMMUNICATIONS, INC.</w:t>
      </w:r>
    </w:p>
    <w:p>
      <w:pPr>
        <w:pStyle w:val="Heading1"/>
        <w:ind w:hanging="0" w:start="0"/>
        <w:rPr>
          <w:sz w:val="24"/>
        </w:rPr>
      </w:pPr>
      <w:r>
        <w:rPr>
          <w:sz w:val="24"/>
        </w:rPr>
        <w:t>JUNE 12, 2001</w:t>
      </w:r>
    </w:p>
    <w:p>
      <w:pPr>
        <w:pStyle w:val="Normal"/>
        <w:rPr>
          <w:sz w:val="24"/>
        </w:rPr>
      </w:pPr>
      <w:r>
        <w:rPr>
          <w:sz w:val="24"/>
        </w:rPr>
      </w:r>
    </w:p>
    <w:p>
      <w:pPr>
        <w:pStyle w:val="Normal"/>
        <w:rPr/>
      </w:pPr>
      <w:r>
        <w:rPr/>
        <w:t xml:space="preserve">Imagine an industry – widgets, if you will – in which every participant has almost </w:t>
      </w:r>
      <w:r>
        <w:rPr>
          <w:i/>
        </w:rPr>
        <w:t>unlimited</w:t>
      </w:r>
      <w:r>
        <w:rPr/>
        <w:t xml:space="preserve"> flexibility to buy or sell products or services.  For example, you could buy widgets for a stated price or a price tied to published benchmarks or to other products, you could buy widgets over any time period or for specific months or years in the future, and you could buy widgets in varying quantities to match your periodic needs.  You could sell widgets in the same fashion.  Now, imagine that you’re not sure you </w:t>
      </w:r>
      <w:r>
        <w:rPr>
          <w:i/>
        </w:rPr>
        <w:t xml:space="preserve">need </w:t>
      </w:r>
      <w:r>
        <w:rPr/>
        <w:t xml:space="preserve">widgets in future years but you may, so you could buy the </w:t>
      </w:r>
      <w:r>
        <w:rPr>
          <w:i/>
        </w:rPr>
        <w:t>right</w:t>
      </w:r>
      <w:r>
        <w:rPr/>
        <w:t xml:space="preserve"> to purchase widgets in future years – an insurance policy of sorts.  To top it off, all of this can be done with only the click of a button.  This is the energy business today.  Many participants, electronic exchanges, futures contracts, brokerage houses, and physical and financial services limited only by the participants’ imaginations.  And given the right environment, it can be the bandwidth business tomorrow.</w:t>
      </w:r>
    </w:p>
    <w:p>
      <w:pPr>
        <w:pStyle w:val="Normal"/>
        <w:rPr/>
      </w:pPr>
      <w:r>
        <w:rPr/>
      </w:r>
    </w:p>
    <w:p>
      <w:pPr>
        <w:pStyle w:val="Normal"/>
        <w:rPr/>
      </w:pPr>
      <w:r>
        <w:rPr/>
        <w:t>Bandwidth is close to this type of market, one in which market participants can access a diverse array of products and services across the nation.  To get there a few assurances and changes are needed to attract the expertise and capital for a truly fungible and ubiquitous marketplace.  Here’s the list:</w:t>
      </w:r>
    </w:p>
    <w:p>
      <w:pPr>
        <w:pStyle w:val="Normal"/>
        <w:rPr/>
      </w:pPr>
      <w:r>
        <w:rPr/>
      </w:r>
    </w:p>
    <w:p>
      <w:pPr>
        <w:pStyle w:val="Normal"/>
        <w:numPr>
          <w:ilvl w:val="0"/>
          <w:numId w:val="2"/>
        </w:numPr>
        <w:rPr/>
      </w:pPr>
      <w:r>
        <w:rPr>
          <w:b/>
        </w:rPr>
        <w:t>“</w:t>
      </w:r>
      <w:r>
        <w:rPr>
          <w:b/>
        </w:rPr>
        <w:t>Hubs” or pooling points</w:t>
      </w:r>
      <w:r>
        <w:rPr/>
        <w:t xml:space="preserve"> – Today’s stock exchanges were borne of a group of financiers that congregated under a buttonwood tree to swap business opportunities.  Trading equities became an industry only after a number of parties participated and only after the equities being traded were recognized.  The commodities exchanges are somewhat different - they evolve around trading a particular, standardized product at a designated location for a specified period.  Bandwidth trading will involve aspects of both of these models.  Traders will need a common meeting area or location to find each other and swap products, and the products that are traded need to be easily recognized or “commoditized”.  That’s a </w:t>
      </w:r>
      <w:r>
        <w:rPr>
          <w:i/>
        </w:rPr>
        <w:t xml:space="preserve">market hub – </w:t>
      </w:r>
      <w:r>
        <w:rPr/>
        <w:t xml:space="preserve">an accepted location where product can be exchanged.  The hub can be a physical location or a “paper pooling” point.  Ideally, hubs would evolve at locations where multiple facilities converge so that more participants can deliver their product into and out of the hub.  Hub locations often develop near major metropolitan areas.  No buttonwood trees necessary today – parties can facilitate trading at multiple hubs nationwide (or internationally) via electronic exchanges and telephone.  Hubs are the key; wheels won’t turn without them.  </w:t>
      </w:r>
    </w:p>
    <w:p>
      <w:pPr>
        <w:pStyle w:val="Normal"/>
        <w:rPr>
          <w:b/>
        </w:rPr>
      </w:pPr>
      <w:r>
        <w:rPr>
          <w:b/>
        </w:rPr>
      </w:r>
    </w:p>
    <w:p>
      <w:pPr>
        <w:pStyle w:val="Normal"/>
        <w:spacing w:lineRule="atLeast" w:line="240"/>
        <w:ind w:start="360" w:end="0"/>
        <w:rPr/>
      </w:pPr>
      <w:r>
        <w:rPr/>
        <w:t>Hub development can be rapidly deployed with “any-to-any interconnectivity”.  T</w:t>
      </w:r>
      <w:r>
        <w:rPr>
          <w:color w:val="000000"/>
          <w:lang w:eastAsia="en-US"/>
        </w:rPr>
        <w:t>he paradigm for interconnection must move beyond the single carrier-to-carrier interconnection model to an environment where any provider can interconnect with any other provider using established routes.  In the power market, providers are interconnected in a grid-like architecture, allowing suppliers to reach virtually any retail/aggregator customer requiring capacity. In order to achieve this, the development of physical and virtual hubs and pooling points are a step in this direction for telecommunications markets.  Carriers must be able to use collocation and other interconnection methods to connect not only with the large incumbent providers but also with any other retail provider of telecommunications.</w:t>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pPr>
      <w:r>
        <w:rPr>
          <w:color w:val="000000"/>
          <w:lang w:eastAsia="en-US"/>
        </w:rPr>
        <w:t xml:space="preserve">If properly developed and supported by consistent regulatory rules and enforcement, trading at hubs and pooling points can turn a </w:t>
      </w:r>
      <w:r>
        <w:rPr>
          <w:i/>
          <w:color w:val="000000"/>
          <w:lang w:eastAsia="en-US"/>
        </w:rPr>
        <w:t>Field of Dreams</w:t>
      </w:r>
      <w:r>
        <w:rPr>
          <w:color w:val="000000"/>
          <w:lang w:eastAsia="en-US"/>
        </w:rPr>
        <w:t xml:space="preserve"> into a </w:t>
      </w:r>
      <w:r>
        <w:rPr>
          <w:i/>
          <w:color w:val="000000"/>
          <w:lang w:eastAsia="en-US"/>
        </w:rPr>
        <w:t>Field of Realities</w:t>
      </w:r>
      <w:r>
        <w:rPr>
          <w:color w:val="000000"/>
          <w:lang w:eastAsia="en-US"/>
        </w:rPr>
        <w:t xml:space="preserve">.  Once established, hubs become a benchmark for pricing that can reduce the risk of constructing last mile high speed capacity.  How?  Many market participants trading known products creates fungibility; fungibility promotes price transparency and price signals; price signals allow for the trading of financial instruments and for hedging of transactions; hedging limits or removes the risks of future build-out and facilitates infrastructure growth.  </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color w:val="000000"/>
          <w:lang w:eastAsia="en-US"/>
        </w:rPr>
      </w:pPr>
      <w:r>
        <w:rPr>
          <w:b/>
          <w:color w:val="000000"/>
          <w:lang w:eastAsia="en-US"/>
        </w:rPr>
        <w:t>Standardization of Contracts and Practices</w:t>
      </w:r>
      <w:r>
        <w:rPr>
          <w:color w:val="000000"/>
          <w:lang w:eastAsia="en-US"/>
        </w:rPr>
        <w:t xml:space="preserve"> – Common terminology, quantity measures and reliability standards are essential to a fungible market.  Traders cannot stop to inquire whether they are acquiring apples or oranges – the products need to be readily identifiable and dependable.   There’s no time to negotiate contracts before each trade; a standard base contract that governs every transaction must be in place before the first trade.  A good test for standardization of a product is whether every variable of service can be depicted on one row of a typical computer screen (and every other term or condition can be captured as standard boilerplate).  </w:t>
      </w:r>
    </w:p>
    <w:p>
      <w:pPr>
        <w:pStyle w:val="Normal"/>
        <w:numPr>
          <w:ilvl w:val="0"/>
          <w:numId w:val="3"/>
        </w:numPr>
        <w:tabs>
          <w:tab w:val="left" w:pos="720" w:leader="none"/>
        </w:tabs>
        <w:spacing w:lineRule="atLeast" w:line="240"/>
        <w:ind w:hanging="360" w:start="720" w:end="0"/>
        <w:rPr>
          <w:color w:val="000000"/>
          <w:lang w:eastAsia="en-US"/>
        </w:rPr>
      </w:pPr>
      <w:r>
        <w:rPr>
          <w:b/>
          <w:color w:val="000000"/>
          <w:lang w:eastAsia="en-US"/>
        </w:rPr>
        <w:t>Key standardization element: Liquidated damages or penalty provisions for nonperformance</w:t>
      </w:r>
      <w:r>
        <w:rPr>
          <w:color w:val="000000"/>
          <w:lang w:eastAsia="en-US"/>
        </w:rPr>
        <w:t xml:space="preserve"> – Requiring performance is a critical element of reliability, and an effective liquidated damages provision or penalty requirement is necessary to ensure delivery.  Standardization of this contract element will give all market participants a greater assurance of performance and certainty of the damages associated with nonperformance.</w:t>
      </w:r>
    </w:p>
    <w:p>
      <w:pPr>
        <w:pStyle w:val="Normal"/>
        <w:spacing w:lineRule="atLeast" w:line="240"/>
        <w:rPr>
          <w:color w:val="000000"/>
          <w:lang w:eastAsia="en-US"/>
        </w:rPr>
      </w:pPr>
      <w:r>
        <w:rPr>
          <w:color w:val="000000"/>
          <w:lang w:eastAsia="en-US"/>
        </w:rPr>
      </w:r>
    </w:p>
    <w:p>
      <w:pPr>
        <w:pStyle w:val="BodyText"/>
        <w:rPr/>
      </w:pPr>
      <w:r>
        <w:rPr/>
        <w:t xml:space="preserve">3.     </w:t>
      </w:r>
      <w:r>
        <w:rPr>
          <w:b/>
        </w:rPr>
        <w:t>Ubiquitous local loop availability -</w:t>
      </w:r>
      <w:r>
        <w:rPr/>
        <w:t xml:space="preserve"> Capacity is only useful if it can be delivered to the customer premises.  For inter-city bandwidth to be traded and a metro bandwidth market to develop, carriers must be able to connect customer premises with physical or virtual pooling points at which bandwidth is traded.  The widespread availability of incumbent loop networks and the development of competing networks are keys to a vibrant bandwidth trading market.  Increasingly, as bandwidth is moving to OC-48 and higher capacities, it is necessary to obtain local connectivity at higher capacities, making it critically important that high capacity loops (particularly optical carrier-equipped loops) be made available to all competitors.  </w:t>
      </w:r>
    </w:p>
    <w:p>
      <w:pPr>
        <w:pStyle w:val="Normal"/>
        <w:ind w:start="360" w:end="0"/>
        <w:rPr/>
      </w:pPr>
      <w:r>
        <w:rPr/>
      </w:r>
    </w:p>
    <w:p>
      <w:pPr>
        <w:pStyle w:val="Normal"/>
        <w:spacing w:lineRule="atLeast" w:line="240"/>
        <w:rPr/>
      </w:pPr>
      <w:r>
        <w:rPr>
          <w:color w:val="000000"/>
          <w:lang w:eastAsia="en-US"/>
        </w:rPr>
        <w:t xml:space="preserve">4.  </w:t>
      </w:r>
      <w:r>
        <w:rPr>
          <w:b/>
          <w:color w:val="000000"/>
          <w:lang w:eastAsia="en-US"/>
        </w:rPr>
        <w:t>Special access provisioning standards</w:t>
      </w:r>
      <w:r>
        <w:rPr>
          <w:color w:val="000000"/>
          <w:lang w:eastAsia="en-US"/>
        </w:rPr>
        <w:t xml:space="preserve"> - One of the principal elements of a bandwidth trade is the assurance that the circuit will be delivered when it is needed.  ILEC provisioning of special access circuits has been substandard and sporadic at best.  Without clear and enforceable provisioning standards for special access, the development of a tradablecommodity may be hindered.</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4.  </w:t>
      </w:r>
      <w:r>
        <w:rPr>
          <w:b/>
          <w:color w:val="000000"/>
          <w:lang w:eastAsia="en-US"/>
        </w:rPr>
        <w:t>Broad access rights</w:t>
      </w:r>
      <w:r>
        <w:rPr>
          <w:color w:val="000000"/>
          <w:lang w:eastAsia="en-US"/>
        </w:rPr>
        <w:t xml:space="preserve"> - Wherever possible, the Commission needs to expand the rights of multiple entrants to reach customers, whether they are located in multi-tenant environments, or are served by hybrid fiber-copper architectures.  Every decision that expands the ability of competing providers to reach the same customer will further the availability of broadband as a commodity.</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5.  </w:t>
      </w:r>
      <w:r>
        <w:rPr>
          <w:b/>
          <w:color w:val="000000"/>
          <w:lang w:eastAsia="en-US"/>
        </w:rPr>
        <w:t>Effective enforcement -</w:t>
      </w:r>
      <w:r>
        <w:rPr>
          <w:color w:val="000000"/>
          <w:lang w:eastAsia="en-US"/>
        </w:rPr>
        <w:t xml:space="preserve"> When basic rights necessary to establish connectivity are impaired, carriers need  the assurance that the FCC will stand ready to swiftly and effectively enforce its own requirements.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2001-06-15T13:24:00Z</dcterms:created>
  <dc:creator>Dynegy IT Dept.</dc:creator>
  <dc:description/>
  <dc:language>en-CA</dc:language>
  <cp:lastModifiedBy>Dynegy IT Dept.</cp:lastModifiedBy>
  <dcterms:modified xsi:type="dcterms:W3CDTF">2001-06-15T19:21:00Z</dcterms:modified>
  <cp:revision>3</cp:revision>
  <dc:subject/>
  <dc:title>BANDWIDTH TRADING: ESSENTIAL TO UBIQUITOUS SPEED SERVICE FOR ALL</dc:title>
</cp:coreProperties>
</file>