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FCC Regulatory Timeline: Current RBOC Bias?</w:t>
      </w:r>
    </w:p>
    <w:p>
      <w:pPr>
        <w:pStyle w:val="Heading"/>
        <w:rPr>
          <w:b w:val="false"/>
          <w:bCs w:val="false"/>
          <w:u w:val="none"/>
        </w:rPr>
      </w:pPr>
      <w:r>
        <w:rPr>
          <w:b w:val="false"/>
          <w:bCs w:val="false"/>
          <w:u w:val="none"/>
        </w:rPr>
        <w:t>June 26, 2001</w:t>
      </w:r>
    </w:p>
    <w:p>
      <w:pPr>
        <w:pStyle w:val="Normal"/>
        <w:rPr>
          <w:b/>
          <w:bCs/>
          <w:u w:val="none"/>
        </w:rPr>
      </w:pPr>
      <w:r>
        <w:rPr>
          <w:b/>
          <w:bCs/>
          <w:u w:val="none"/>
        </w:rPr>
      </w:r>
    </w:p>
    <w:p>
      <w:pPr>
        <w:pStyle w:val="Subtitle"/>
        <w:numPr>
          <w:ilvl w:val="0"/>
          <w:numId w:val="3"/>
        </w:numPr>
        <w:ind w:hanging="0" w:start="0"/>
        <w:rPr/>
      </w:pPr>
      <w:r>
        <w:rPr/>
        <w:t>Background (Pro-competitive)</w:t>
      </w:r>
    </w:p>
    <w:p>
      <w:pPr>
        <w:pStyle w:val="Subtitle"/>
        <w:numPr>
          <w:ilvl w:val="0"/>
          <w:numId w:val="0"/>
        </w:numPr>
        <w:ind w:hanging="0" w:start="360" w:end="0"/>
        <w:rPr/>
      </w:pPr>
      <w:r>
        <w:rPr/>
      </w:r>
    </w:p>
    <w:p>
      <w:pPr>
        <w:pStyle w:val="Normal"/>
        <w:numPr>
          <w:ilvl w:val="1"/>
          <w:numId w:val="3"/>
        </w:numPr>
        <w:rPr/>
      </w:pPr>
      <w:r>
        <w:rPr>
          <w:b/>
          <w:bCs/>
        </w:rPr>
        <w:t>Telecommunications Act of 1996 (“the Act”) – 2/8/1996</w:t>
      </w:r>
    </w:p>
    <w:p>
      <w:pPr>
        <w:pStyle w:val="Normal"/>
        <w:numPr>
          <w:ilvl w:val="2"/>
          <w:numId w:val="3"/>
        </w:numPr>
        <w:rPr/>
      </w:pPr>
      <w:r>
        <w:rPr/>
        <w:t>Two fundamental goals: (1) Open the local exchange and exchange access markets to competition; and (2) Promote innovation and investment by participants in the telecommunications marketplace.</w:t>
      </w:r>
    </w:p>
    <w:p>
      <w:pPr>
        <w:pStyle w:val="Normal"/>
        <w:numPr>
          <w:ilvl w:val="2"/>
          <w:numId w:val="3"/>
        </w:numPr>
        <w:rPr/>
      </w:pPr>
      <w:r>
        <w:rPr/>
        <w:t>Section 251 of the Act imposed upon incumbents specific market-opening mechanisms, such as mandatory interconnection, unbundled access, and resale requirements on the incumbents, in order to break the incumbents’ control over local facilities.</w:t>
      </w:r>
    </w:p>
    <w:p>
      <w:pPr>
        <w:pStyle w:val="Normal"/>
        <w:numPr>
          <w:ilvl w:val="3"/>
          <w:numId w:val="3"/>
        </w:numPr>
        <w:rPr/>
      </w:pPr>
      <w:r>
        <w:rPr/>
        <w:t>Interconnection – “The duty to provide, for the facilities and equipment of any requesting telecommunications carrier, interconnection with the local exchange carrier’s network for transmission and routing of telephone exchange service and exchange access at any technically feasible point within the carrier’s network that is at least equal in quality to that provided by the local exchange carrier to itself or to any subsidiary . . . and on rates, terms, and conditions that are just, reasonable, and nondiscriminatory . . . . ” 47 U.S.C. sec. 251(c)(2).</w:t>
      </w:r>
    </w:p>
    <w:p>
      <w:pPr>
        <w:pStyle w:val="Normal"/>
        <w:numPr>
          <w:ilvl w:val="3"/>
          <w:numId w:val="3"/>
        </w:numPr>
        <w:rPr/>
      </w:pPr>
      <w:r>
        <w:rPr/>
        <w:t>Unbundled Access – “The duty to provide, to any requesting telecommunications carrier for the provision of a telecommunications service, nondiscriminatory access to network elements on an unbundled basis . . . in a manner that allows requesting carriers to combine such elements in order to provide such telecommunications service.”  47 U.S.C. sec. 251(c)(3).</w:t>
      </w:r>
    </w:p>
    <w:p>
      <w:pPr>
        <w:pStyle w:val="Normal"/>
        <w:numPr>
          <w:ilvl w:val="3"/>
          <w:numId w:val="3"/>
        </w:numPr>
        <w:rPr/>
      </w:pPr>
      <w:r>
        <w:rPr/>
        <w:t>Resale – “The duty to offer for resale at wholesale rates any telecommunications service that the carrier provides at retail to subscribers who are not telecommunications carriers; and not to prohibit, and not to impose unreasonable or discriminatory conditions or limitations on, the resale of such telecommunications service . . . . ” 47 U.S.C. sec. 251(c)(4).</w:t>
      </w:r>
    </w:p>
    <w:p>
      <w:pPr>
        <w:pStyle w:val="Normal"/>
        <w:numPr>
          <w:ilvl w:val="2"/>
          <w:numId w:val="3"/>
        </w:numPr>
        <w:rPr/>
      </w:pPr>
      <w:r>
        <w:rPr/>
        <w:t>Section 271(c)(2)(B) of the Act enumerates a 14-point competitive checklist that RBOCs must comply with to obtain in-region, interLATA authority, including demonstrating that they are providing or “generally offering” to requesting carriers network elements such as local loops, transport, switching, databases and signaling; reciprocal compensation arrangements; interconnection (pursuant to section 251); and resale (pursuant to section 251).</w:t>
      </w:r>
    </w:p>
    <w:p>
      <w:pPr>
        <w:pStyle w:val="Normal"/>
        <w:ind w:start="1980" w:end="0"/>
        <w:rPr/>
      </w:pPr>
      <w:r>
        <w:rPr/>
      </w:r>
    </w:p>
    <w:p>
      <w:pPr>
        <w:pStyle w:val="Normal"/>
        <w:ind w:start="1980" w:end="0"/>
        <w:rPr/>
      </w:pPr>
      <w:r>
        <w:rPr/>
      </w:r>
    </w:p>
    <w:p>
      <w:pPr>
        <w:pStyle w:val="Normal"/>
        <w:ind w:start="1980" w:end="0"/>
        <w:rPr/>
      </w:pPr>
      <w:r>
        <w:rPr/>
      </w:r>
    </w:p>
    <w:p>
      <w:pPr>
        <w:pStyle w:val="Normal"/>
        <w:numPr>
          <w:ilvl w:val="1"/>
          <w:numId w:val="3"/>
        </w:numPr>
        <w:rPr/>
      </w:pPr>
      <w:r>
        <w:rPr>
          <w:b/>
          <w:bCs/>
          <w:i/>
          <w:iCs/>
        </w:rPr>
        <w:t>UNE Remand Order</w:t>
      </w:r>
      <w:r>
        <w:rPr/>
        <w:t xml:space="preserve"> (9/15/1999)</w:t>
      </w:r>
    </w:p>
    <w:p>
      <w:pPr>
        <w:pStyle w:val="Normal"/>
        <w:numPr>
          <w:ilvl w:val="2"/>
          <w:numId w:val="3"/>
        </w:numPr>
        <w:rPr/>
      </w:pPr>
      <w:r>
        <w:rPr/>
        <w:t>FCC reiterated fundamental goal of the Act -&gt; to promote innovation and investment by all participants in the telecommunications marketplace, and in particular, to encourage rapid deployment of new telecommunications technologies.</w:t>
      </w:r>
    </w:p>
    <w:p>
      <w:pPr>
        <w:pStyle w:val="Normal"/>
        <w:numPr>
          <w:ilvl w:val="2"/>
          <w:numId w:val="3"/>
        </w:numPr>
        <w:rPr/>
      </w:pPr>
      <w:r>
        <w:rPr/>
        <w:t>FCC reaffirmed that section 251 of the Act entitles a requesting carrier to use a UNE or UNE combination to provide any telecommunications service it seeks to offer.</w:t>
      </w:r>
    </w:p>
    <w:p>
      <w:pPr>
        <w:pStyle w:val="Normal"/>
        <w:numPr>
          <w:ilvl w:val="2"/>
          <w:numId w:val="3"/>
        </w:numPr>
        <w:rPr/>
      </w:pPr>
      <w:r>
        <w:rPr/>
        <w:t>FCC modified national list of UNEs as follows:</w:t>
      </w:r>
    </w:p>
    <w:p>
      <w:pPr>
        <w:pStyle w:val="Normal"/>
        <w:numPr>
          <w:ilvl w:val="3"/>
          <w:numId w:val="3"/>
        </w:numPr>
        <w:rPr/>
      </w:pPr>
      <w:r>
        <w:rPr/>
        <w:t>Elements that must be unbundled: loops; sub loops; network interface device; circuit switching; packet switching (in limited circumstances); interoffice transmission facilities (</w:t>
      </w:r>
      <w:r>
        <w:rPr>
          <w:i/>
          <w:iCs/>
        </w:rPr>
        <w:t>i.e.</w:t>
      </w:r>
      <w:r>
        <w:rPr/>
        <w:t>, dedicated transport); signaling and call-related databases; and operations support systems.</w:t>
      </w:r>
    </w:p>
    <w:p>
      <w:pPr>
        <w:pStyle w:val="Normal"/>
        <w:numPr>
          <w:ilvl w:val="4"/>
          <w:numId w:val="3"/>
        </w:numPr>
        <w:rPr/>
      </w:pPr>
      <w:r>
        <w:rPr/>
        <w:t>NOTE: FCC concluded that dark fiber is an unbundled network element; qualifies as transport and loop.</w:t>
      </w:r>
    </w:p>
    <w:p>
      <w:pPr>
        <w:pStyle w:val="Normal"/>
        <w:numPr>
          <w:ilvl w:val="3"/>
          <w:numId w:val="3"/>
        </w:numPr>
        <w:rPr/>
      </w:pPr>
      <w:r>
        <w:rPr/>
        <w:t>Elements that need not be unbundled: operator services and directory assistance; shared transport where circuit switching is not unbundled; and packet switching (except in limited circumstances).</w:t>
      </w:r>
    </w:p>
    <w:p>
      <w:pPr>
        <w:pStyle w:val="Normal"/>
        <w:numPr>
          <w:ilvl w:val="3"/>
          <w:numId w:val="3"/>
        </w:numPr>
        <w:rPr/>
      </w:pPr>
      <w:r>
        <w:rPr/>
        <w:t>FCC claimed that it expected to reexamine the list of UNEs subject to unbundling obligations of the Act every 3 years in order to provide certainty in marketplace.</w:t>
      </w:r>
    </w:p>
    <w:p>
      <w:pPr>
        <w:pStyle w:val="Normal"/>
        <w:numPr>
          <w:ilvl w:val="2"/>
          <w:numId w:val="3"/>
        </w:numPr>
        <w:rPr/>
      </w:pPr>
      <w:r>
        <w:rPr/>
        <w:t>FCC acknowledged that the Act grants state commissions the authority to impose additional obligations upon ILECs beyond those imposed by the national list of UNEs as long as they meet the requirements of the Act and national policy framework.</w:t>
      </w:r>
    </w:p>
    <w:p>
      <w:pPr>
        <w:pStyle w:val="Normal"/>
        <w:numPr>
          <w:ilvl w:val="2"/>
          <w:numId w:val="3"/>
        </w:numPr>
        <w:rPr/>
      </w:pPr>
      <w:r>
        <w:rPr/>
        <w:t xml:space="preserve">FCC agreed that the Act does not permit restrictions on a requesting carrier’s access to or use of network elements; thus, refused to impose use restrictions on the use of UNEs. </w:t>
      </w:r>
    </w:p>
    <w:p>
      <w:pPr>
        <w:pStyle w:val="Normal"/>
        <w:numPr>
          <w:ilvl w:val="2"/>
          <w:numId w:val="3"/>
        </w:numPr>
        <w:rPr/>
      </w:pPr>
      <w:r>
        <w:rPr/>
        <w:t xml:space="preserve">FCC determined that replicating an incumbent’s vast and ubiquitous network would be prohibitively expensive and delay competitive entry.  </w:t>
      </w:r>
    </w:p>
    <w:p>
      <w:pPr>
        <w:pStyle w:val="Normal"/>
        <w:rPr/>
      </w:pPr>
      <w:r>
        <w:rPr/>
      </w:r>
    </w:p>
    <w:p>
      <w:pPr>
        <w:pStyle w:val="Normal"/>
        <w:numPr>
          <w:ilvl w:val="0"/>
          <w:numId w:val="3"/>
        </w:numPr>
        <w:rPr>
          <w:b/>
          <w:bCs/>
        </w:rPr>
      </w:pPr>
      <w:r>
        <w:rPr>
          <w:b/>
          <w:bCs/>
        </w:rPr>
        <w:t>RBOC Bias -&gt; Current Status of Restricted Access to Enhanced Extended Links (“EELs”)</w:t>
      </w:r>
    </w:p>
    <w:p>
      <w:pPr>
        <w:pStyle w:val="Normal"/>
        <w:ind w:start="360" w:end="0"/>
        <w:rPr>
          <w:b/>
          <w:bCs/>
        </w:rPr>
      </w:pPr>
      <w:r>
        <w:rPr>
          <w:b/>
          <w:bCs/>
        </w:rPr>
      </w:r>
    </w:p>
    <w:p>
      <w:pPr>
        <w:pStyle w:val="BodyTextIndent"/>
        <w:rPr/>
      </w:pPr>
      <w:r>
        <w:rPr/>
        <w:t>-&gt; An EEL is a UNE combination that consists of transport and local loop; access to the EEL avoids uneconomic investment in transport facilities to a number of wire centers (</w:t>
      </w:r>
      <w:r>
        <w:rPr>
          <w:i/>
          <w:iCs/>
        </w:rPr>
        <w:t>i.e</w:t>
      </w:r>
      <w:r>
        <w:rPr/>
        <w:t>., collocation need is diminished).</w:t>
      </w:r>
    </w:p>
    <w:p>
      <w:pPr>
        <w:pStyle w:val="BodyTextIndent"/>
        <w:rPr/>
      </w:pPr>
      <w:r>
        <w:rPr/>
      </w:r>
    </w:p>
    <w:p>
      <w:pPr>
        <w:pStyle w:val="BodyTextIndent"/>
        <w:rPr/>
      </w:pPr>
      <w:r>
        <w:rPr/>
        <w:t>-&gt; EEL allows requesting carriers to serve a customer by extending a customer’s loop from the end office serving that customer to a different end office in which the competitor is already collocated; thus, able to aggregate loops at fewer collocation locations.</w:t>
      </w:r>
    </w:p>
    <w:p>
      <w:pPr>
        <w:pStyle w:val="BodyTextIndent"/>
        <w:rPr>
          <w:b/>
          <w:bCs/>
        </w:rPr>
      </w:pPr>
      <w:r>
        <w:rPr>
          <w:b/>
          <w:bCs/>
        </w:rPr>
      </w:r>
    </w:p>
    <w:p>
      <w:pPr>
        <w:pStyle w:val="Subtitle"/>
        <w:numPr>
          <w:ilvl w:val="0"/>
          <w:numId w:val="0"/>
        </w:numPr>
        <w:ind w:hanging="0" w:start="1080" w:end="0"/>
        <w:rPr/>
      </w:pPr>
      <w:r>
        <w:rPr/>
        <w:t xml:space="preserve">-&gt; </w:t>
      </w:r>
      <w:r>
        <w:rPr>
          <w:b w:val="false"/>
          <w:bCs w:val="false"/>
        </w:rPr>
        <w:t>Pursuant to the Act, CLECs are entitled to obtain existing combinations of loop and transport between the end-user and the incumbent’s serving wire center on an unrestricted basis at UNE prices.</w:t>
      </w:r>
    </w:p>
    <w:p>
      <w:pPr>
        <w:pStyle w:val="Subtitle"/>
        <w:numPr>
          <w:ilvl w:val="0"/>
          <w:numId w:val="0"/>
        </w:numPr>
        <w:ind w:hanging="0" w:start="1080" w:end="0"/>
        <w:rPr>
          <w:b w:val="false"/>
          <w:bCs w:val="false"/>
        </w:rPr>
      </w:pPr>
      <w:r>
        <w:rPr>
          <w:b w:val="false"/>
          <w:bCs w:val="false"/>
        </w:rPr>
      </w:r>
    </w:p>
    <w:p>
      <w:pPr>
        <w:pStyle w:val="Subtitle"/>
        <w:numPr>
          <w:ilvl w:val="0"/>
          <w:numId w:val="0"/>
        </w:numPr>
        <w:ind w:hanging="0" w:start="1080" w:end="0"/>
        <w:rPr>
          <w:b w:val="false"/>
          <w:bCs w:val="false"/>
        </w:rPr>
      </w:pPr>
      <w:r>
        <w:rPr>
          <w:b w:val="false"/>
          <w:bCs w:val="false"/>
        </w:rPr>
        <w:t>-&gt; NOTE: The Act did not condition access to UNEs on the type of service provided using the UNEs.</w:t>
      </w:r>
    </w:p>
    <w:p>
      <w:pPr>
        <w:pStyle w:val="Subtitle"/>
        <w:numPr>
          <w:ilvl w:val="0"/>
          <w:numId w:val="0"/>
        </w:numPr>
        <w:ind w:hanging="0" w:start="1080" w:end="0"/>
        <w:rPr>
          <w:b w:val="false"/>
          <w:bCs w:val="false"/>
        </w:rPr>
      </w:pPr>
      <w:r>
        <w:rPr>
          <w:b w:val="false"/>
          <w:bCs w:val="false"/>
        </w:rPr>
      </w:r>
    </w:p>
    <w:p>
      <w:pPr>
        <w:pStyle w:val="Normal"/>
        <w:numPr>
          <w:ilvl w:val="1"/>
          <w:numId w:val="3"/>
        </w:numPr>
        <w:rPr/>
      </w:pPr>
      <w:r>
        <w:rPr>
          <w:b/>
          <w:bCs/>
          <w:i/>
          <w:iCs/>
        </w:rPr>
        <w:t>Supplemental Order</w:t>
      </w:r>
      <w:r>
        <w:rPr/>
        <w:t xml:space="preserve"> (11/24/1999)</w:t>
      </w:r>
    </w:p>
    <w:p>
      <w:pPr>
        <w:pStyle w:val="Normal"/>
        <w:numPr>
          <w:ilvl w:val="2"/>
          <w:numId w:val="3"/>
        </w:numPr>
        <w:rPr/>
      </w:pPr>
      <w:r>
        <w:rPr/>
        <w:t>FCC imposed an “interim” restriction on the use of EELs – permitted ILECs to deny EELs to requesting carriers wishing to convert special access services to combinations of unbundled loops and transport elements unless such carriers would use them to carry a “significant amount of local exchange service.”</w:t>
      </w:r>
    </w:p>
    <w:p>
      <w:pPr>
        <w:pStyle w:val="Normal"/>
        <w:numPr>
          <w:ilvl w:val="3"/>
          <w:numId w:val="3"/>
        </w:numPr>
        <w:rPr/>
      </w:pPr>
      <w:r>
        <w:rPr/>
        <w:t>FCC presumed that “significant local exchange service” requirement met if carrier is providing all of the end user’s local exchange service.</w:t>
      </w:r>
    </w:p>
    <w:p>
      <w:pPr>
        <w:pStyle w:val="Normal"/>
        <w:numPr>
          <w:ilvl w:val="2"/>
          <w:numId w:val="3"/>
        </w:numPr>
        <w:rPr/>
      </w:pPr>
      <w:r>
        <w:rPr/>
        <w:t xml:space="preserve">FCC stated that this temporary restriction would apply until final resolution of the </w:t>
      </w:r>
      <w:r>
        <w:rPr>
          <w:i/>
          <w:iCs/>
        </w:rPr>
        <w:t>UNE Remand Order</w:t>
      </w:r>
      <w:r>
        <w:rPr/>
        <w:t>, which it claimed would occur no later than 6/30/00.</w:t>
      </w:r>
    </w:p>
    <w:p>
      <w:pPr>
        <w:pStyle w:val="Normal"/>
        <w:numPr>
          <w:ilvl w:val="3"/>
          <w:numId w:val="3"/>
        </w:numPr>
        <w:rPr/>
      </w:pPr>
      <w:r>
        <w:rPr/>
        <w:t>NOTE: Final resolution still has not occurred; for example, the FCC is still reviewing comments on access to EELs in Common Carrier Docket No. 96-98, entitled Implementation of the Local Competition Provisions in the Telecommunications Act of 1996.</w:t>
      </w:r>
    </w:p>
    <w:p>
      <w:pPr>
        <w:pStyle w:val="Normal"/>
        <w:numPr>
          <w:ilvl w:val="2"/>
          <w:numId w:val="3"/>
        </w:numPr>
        <w:rPr/>
      </w:pPr>
      <w:r>
        <w:rPr/>
        <w:t>FCC still acknowledged that not clear that the 1996 Act permits any restrictions on the use of UNEs.</w:t>
      </w:r>
    </w:p>
    <w:p>
      <w:pPr>
        <w:pStyle w:val="Normal"/>
        <w:ind w:start="1980" w:end="0"/>
        <w:rPr/>
      </w:pPr>
      <w:r>
        <w:rPr/>
      </w:r>
    </w:p>
    <w:p>
      <w:pPr>
        <w:pStyle w:val="Normal"/>
        <w:numPr>
          <w:ilvl w:val="1"/>
          <w:numId w:val="3"/>
        </w:numPr>
        <w:rPr/>
      </w:pPr>
      <w:r>
        <w:rPr>
          <w:b/>
          <w:bCs/>
          <w:i/>
          <w:iCs/>
        </w:rPr>
        <w:t>Supplemental Order Clarification</w:t>
      </w:r>
      <w:r>
        <w:rPr/>
        <w:t xml:space="preserve"> (6/2/2000)</w:t>
      </w:r>
    </w:p>
    <w:p>
      <w:pPr>
        <w:pStyle w:val="Normal"/>
        <w:ind w:start="1440" w:end="0"/>
        <w:rPr/>
      </w:pPr>
      <w:r>
        <w:rPr/>
        <w:t xml:space="preserve">-&gt; Response to CLECs’ request that the FCC clarify the </w:t>
      </w:r>
      <w:r>
        <w:rPr>
          <w:i/>
          <w:iCs/>
        </w:rPr>
        <w:t>Supplemental Order</w:t>
      </w:r>
      <w:r>
        <w:rPr/>
        <w:t xml:space="preserve"> regarding the minimum amount of local service a requesting carrier must provide in order to convert special access services to combinations of unbundled loop and dedicated transport network elements (</w:t>
      </w:r>
      <w:r>
        <w:rPr>
          <w:i/>
          <w:iCs/>
        </w:rPr>
        <w:t>i.e.</w:t>
      </w:r>
      <w:r>
        <w:rPr/>
        <w:t>, EELs).</w:t>
      </w:r>
    </w:p>
    <w:p>
      <w:pPr>
        <w:pStyle w:val="Normal"/>
        <w:numPr>
          <w:ilvl w:val="2"/>
          <w:numId w:val="3"/>
        </w:numPr>
        <w:rPr/>
      </w:pPr>
      <w:r>
        <w:rPr/>
        <w:t>FCC determined that an indefinite extension of the use restriction on EELs was appropriate.</w:t>
      </w:r>
    </w:p>
    <w:p>
      <w:pPr>
        <w:pStyle w:val="Normal"/>
        <w:numPr>
          <w:ilvl w:val="2"/>
          <w:numId w:val="3"/>
        </w:numPr>
        <w:rPr/>
      </w:pPr>
      <w:r>
        <w:rPr/>
        <w:t xml:space="preserve">FCC provided more specificity on the nature and scope of the “significant amount of local exchange service” standard by holding that a carrier had to satisfy one of three complex options or “safe harbors” before obtaining an EEL: </w:t>
      </w:r>
    </w:p>
    <w:p>
      <w:pPr>
        <w:pStyle w:val="Normal"/>
        <w:numPr>
          <w:ilvl w:val="3"/>
          <w:numId w:val="3"/>
        </w:numPr>
        <w:rPr/>
      </w:pPr>
      <w:r>
        <w:rPr/>
        <w:t>The requesting carrier certifies that it is the exclusive provider of an end user’s local exchange service; or</w:t>
      </w:r>
    </w:p>
    <w:p>
      <w:pPr>
        <w:pStyle w:val="Normal"/>
        <w:numPr>
          <w:ilvl w:val="3"/>
          <w:numId w:val="3"/>
        </w:numPr>
        <w:rPr/>
      </w:pPr>
      <w:r>
        <w:rPr/>
        <w:t>The requesting carrier certifies that it provides local exchange and exchange access service to the end user customer’s premises and handles at least one third of the end user customer’s local traffic measured as a percent of total end user customer local dial tone lines; and for DS1 circuits and above, at least 50% of the activated channels on the loop portion of the loop-transport combination have at least 5% local voice traffic individually, and the entire loop facility has at least 10% local voice traffic; or</w:t>
      </w:r>
    </w:p>
    <w:p>
      <w:pPr>
        <w:pStyle w:val="Normal"/>
        <w:numPr>
          <w:ilvl w:val="3"/>
          <w:numId w:val="3"/>
        </w:numPr>
        <w:rPr/>
      </w:pPr>
      <w:r>
        <w:rPr/>
        <w:t>The requesting carrier certifies that at least 50% of the activated channels on a circuit are used to provide originating and terminating local dial tone service and at least 50% of the traffic on each of these local dial tone channels is local voice traffic, and that the entire loop facility has at least 33% local voice traffic.</w:t>
      </w:r>
    </w:p>
    <w:p>
      <w:pPr>
        <w:pStyle w:val="Normal"/>
        <w:numPr>
          <w:ilvl w:val="2"/>
          <w:numId w:val="3"/>
        </w:numPr>
        <w:rPr/>
      </w:pPr>
      <w:r>
        <w:rPr/>
        <w:t>NOTE: Voice restrictions (</w:t>
      </w:r>
      <w:r>
        <w:rPr>
          <w:i/>
          <w:iCs/>
        </w:rPr>
        <w:t>i.e</w:t>
      </w:r>
      <w:r>
        <w:rPr/>
        <w:t>., safe harbors) prevent EBS from accessing the EEL.</w:t>
      </w:r>
    </w:p>
    <w:p>
      <w:pPr>
        <w:pStyle w:val="Normal"/>
        <w:ind w:start="2520" w:end="0"/>
        <w:rPr/>
      </w:pPr>
      <w:r>
        <w:rPr/>
      </w:r>
    </w:p>
    <w:p>
      <w:pPr>
        <w:pStyle w:val="Normal"/>
        <w:numPr>
          <w:ilvl w:val="1"/>
          <w:numId w:val="3"/>
        </w:numPr>
        <w:rPr/>
      </w:pPr>
      <w:r>
        <w:rPr>
          <w:b/>
          <w:bCs/>
        </w:rPr>
        <w:t>EELs Proceeding (Common Carrier Docket No. 96-98: Implementation of the Local Competition Provisions in the Telecommunications Act of 1996)</w:t>
      </w:r>
      <w:r>
        <w:rPr/>
        <w:t xml:space="preserve"> –&gt; Opportunity to convince FCC to lift current use restrictions</w:t>
      </w:r>
    </w:p>
    <w:p>
      <w:pPr>
        <w:pStyle w:val="Normal"/>
        <w:numPr>
          <w:ilvl w:val="2"/>
          <w:numId w:val="3"/>
        </w:numPr>
        <w:rPr/>
      </w:pPr>
      <w:r>
        <w:rPr/>
        <w:t xml:space="preserve">EBS submitted </w:t>
      </w:r>
      <w:r>
        <w:rPr>
          <w:b/>
          <w:bCs/>
          <w:i/>
          <w:iCs/>
        </w:rPr>
        <w:t>Ex Parte</w:t>
      </w:r>
      <w:r>
        <w:rPr>
          <w:b/>
          <w:bCs/>
        </w:rPr>
        <w:t xml:space="preserve"> Letter</w:t>
      </w:r>
      <w:r>
        <w:rPr/>
        <w:t xml:space="preserve"> to the FCC (5/21/01) that described how:</w:t>
      </w:r>
    </w:p>
    <w:p>
      <w:pPr>
        <w:pStyle w:val="Normal"/>
        <w:numPr>
          <w:ilvl w:val="3"/>
          <w:numId w:val="3"/>
        </w:numPr>
        <w:rPr/>
      </w:pPr>
      <w:r>
        <w:rPr/>
        <w:t>EBS is trying to provide consumers with a host of innovative products and services, including, but not limited to, enhanced Internet access, Entertainment-On-Demand, and data storage, and that bandwidth trading allows for readily available, high-quality bandwidth capacity, which is essential ingredient to new age of broadband content being made available over the Internet;</w:t>
      </w:r>
    </w:p>
    <w:p>
      <w:pPr>
        <w:pStyle w:val="Normal"/>
        <w:numPr>
          <w:ilvl w:val="3"/>
          <w:numId w:val="3"/>
        </w:numPr>
        <w:rPr/>
      </w:pPr>
      <w:r>
        <w:rPr/>
        <w:t>Access to the EEL is a stepping-stone to facilities-based competition, and UNEs are building blocks to the time when EBS, for example, would consider building its network deeper into specific metropolitan areas;</w:t>
      </w:r>
    </w:p>
    <w:p>
      <w:pPr>
        <w:pStyle w:val="Normal"/>
        <w:numPr>
          <w:ilvl w:val="3"/>
          <w:numId w:val="3"/>
        </w:numPr>
        <w:rPr/>
      </w:pPr>
      <w:r>
        <w:rPr/>
        <w:t xml:space="preserve">Use restrictions are inconsistent with the goals of the Act and the </w:t>
      </w:r>
      <w:r>
        <w:rPr>
          <w:i/>
          <w:iCs/>
        </w:rPr>
        <w:t>UNE Remand Order</w:t>
      </w:r>
      <w:r>
        <w:rPr/>
        <w:t xml:space="preserve"> and general pro-competitive policies;</w:t>
      </w:r>
    </w:p>
    <w:p>
      <w:pPr>
        <w:pStyle w:val="Normal"/>
        <w:numPr>
          <w:ilvl w:val="3"/>
          <w:numId w:val="3"/>
        </w:numPr>
        <w:rPr/>
      </w:pPr>
      <w:r>
        <w:rPr/>
        <w:t>Use restrictions force us to purchase special access circuits except in limited cases where CLEC facilities are available;</w:t>
      </w:r>
    </w:p>
    <w:p>
      <w:pPr>
        <w:pStyle w:val="Normal"/>
        <w:numPr>
          <w:ilvl w:val="3"/>
          <w:numId w:val="3"/>
        </w:numPr>
        <w:rPr/>
      </w:pPr>
      <w:r>
        <w:rPr/>
        <w:t>Use restrictions cause uneconomic investment in facilities and replication of incumbents’ networks regarding loop and transport facilities; and</w:t>
      </w:r>
    </w:p>
    <w:p>
      <w:pPr>
        <w:pStyle w:val="Normal"/>
        <w:numPr>
          <w:ilvl w:val="3"/>
          <w:numId w:val="3"/>
        </w:numPr>
        <w:rPr/>
      </w:pPr>
      <w:r>
        <w:rPr/>
        <w:t xml:space="preserve">The predicted traffic volume must justify the build.  </w:t>
      </w:r>
    </w:p>
    <w:p>
      <w:pPr>
        <w:pStyle w:val="Normal"/>
        <w:ind w:start="2520" w:end="0"/>
        <w:rPr/>
      </w:pPr>
      <w:r>
        <w:rPr/>
      </w:r>
    </w:p>
    <w:p>
      <w:pPr>
        <w:pStyle w:val="Normal"/>
        <w:ind w:start="360" w:end="0"/>
        <w:rPr/>
      </w:pPr>
      <w:r>
        <w:rPr/>
        <w:t>-&gt; NOTE: EBS filed comments in response to the Joint Petition of BellSouth, SBC and Verizon for Elimination of Mandatory Unbundling of High-Capacity Loops and Dedicated Transport in CC Docket No. 96-98 (same docket for EELs) – filed 6/11/2001.</w:t>
      </w:r>
    </w:p>
    <w:p>
      <w:pPr>
        <w:pStyle w:val="Normal"/>
        <w:ind w:start="1980" w:end="0"/>
        <w:rPr/>
      </w:pPr>
      <w:r>
        <w:rPr/>
      </w:r>
    </w:p>
    <w:p>
      <w:pPr>
        <w:pStyle w:val="Normal"/>
        <w:ind w:start="2520" w:end="0"/>
        <w:rPr/>
      </w:pPr>
      <w:r>
        <w:rPr/>
      </w:r>
    </w:p>
    <w:p>
      <w:pPr>
        <w:pStyle w:val="Subtitle"/>
        <w:numPr>
          <w:ilvl w:val="0"/>
          <w:numId w:val="3"/>
        </w:numPr>
        <w:ind w:hanging="0" w:start="0"/>
        <w:rPr/>
      </w:pPr>
      <w:r>
        <w:rPr/>
        <w:t xml:space="preserve">RBOC Bias -&gt; Granting Section 271 Authorizations Regardless of Non-Compliance With the Act </w:t>
      </w:r>
    </w:p>
    <w:p>
      <w:pPr>
        <w:pStyle w:val="Subtitle"/>
        <w:numPr>
          <w:ilvl w:val="0"/>
          <w:numId w:val="0"/>
        </w:numPr>
        <w:ind w:hanging="0" w:start="360" w:end="0"/>
        <w:rPr/>
      </w:pPr>
      <w:r>
        <w:rPr/>
      </w:r>
    </w:p>
    <w:p>
      <w:pPr>
        <w:pStyle w:val="Subtitle"/>
        <w:numPr>
          <w:ilvl w:val="0"/>
          <w:numId w:val="0"/>
        </w:numPr>
        <w:ind w:hanging="0" w:start="1080" w:end="0"/>
        <w:rPr/>
      </w:pPr>
      <w:r>
        <w:rPr/>
        <w:t xml:space="preserve">-&gt; </w:t>
      </w:r>
      <w:r>
        <w:rPr>
          <w:b w:val="false"/>
          <w:bCs w:val="false"/>
        </w:rPr>
        <w:t>The Act required the incumbents to open the local market to competition before they are allowed to sell long-distance service; the goal was to encourage competition in the local and long-distance markets.</w:t>
      </w:r>
    </w:p>
    <w:p>
      <w:pPr>
        <w:pStyle w:val="Subtitle"/>
        <w:numPr>
          <w:ilvl w:val="0"/>
          <w:numId w:val="0"/>
        </w:numPr>
        <w:ind w:hanging="0" w:start="1080" w:end="0"/>
        <w:rPr>
          <w:b w:val="false"/>
          <w:bCs w:val="false"/>
        </w:rPr>
      </w:pPr>
      <w:r>
        <w:rPr>
          <w:b w:val="false"/>
          <w:bCs w:val="false"/>
        </w:rPr>
      </w:r>
    </w:p>
    <w:p>
      <w:pPr>
        <w:pStyle w:val="Subtitle"/>
        <w:numPr>
          <w:ilvl w:val="0"/>
          <w:numId w:val="0"/>
        </w:numPr>
        <w:ind w:hanging="0" w:start="1080" w:end="0"/>
        <w:rPr/>
      </w:pPr>
      <w:r>
        <w:rPr/>
        <w:t xml:space="preserve">-&gt; </w:t>
      </w:r>
      <w:r>
        <w:rPr>
          <w:b w:val="false"/>
          <w:bCs w:val="false"/>
        </w:rPr>
        <w:t xml:space="preserve">Pursuant to section 271(c)(2)(B) of the Act, in order to receive authority to offer in-region, interLATA services, the incumbents first must satisfy a competitive checklist comprised of </w:t>
      </w:r>
      <w:r>
        <w:rPr/>
        <w:t>14 points</w:t>
      </w:r>
      <w:r>
        <w:rPr>
          <w:b w:val="false"/>
          <w:bCs w:val="false"/>
        </w:rPr>
        <w:t xml:space="preserve"> as follows:</w:t>
      </w:r>
    </w:p>
    <w:p>
      <w:pPr>
        <w:pStyle w:val="Subtitle"/>
        <w:numPr>
          <w:ilvl w:val="0"/>
          <w:numId w:val="0"/>
        </w:numPr>
        <w:ind w:hanging="0" w:start="1080" w:end="0"/>
        <w:rPr>
          <w:b w:val="false"/>
          <w:bCs w:val="false"/>
        </w:rPr>
      </w:pPr>
      <w:r>
        <w:rPr>
          <w:b w:val="false"/>
          <w:bCs w:val="false"/>
        </w:rPr>
      </w:r>
    </w:p>
    <w:p>
      <w:pPr>
        <w:pStyle w:val="Subtitle"/>
        <w:numPr>
          <w:ilvl w:val="0"/>
          <w:numId w:val="2"/>
        </w:numPr>
        <w:rPr>
          <w:b w:val="false"/>
          <w:bCs w:val="false"/>
          <w:sz w:val="22"/>
        </w:rPr>
      </w:pPr>
      <w:r>
        <w:rPr>
          <w:b w:val="false"/>
          <w:bCs w:val="false"/>
          <w:sz w:val="22"/>
        </w:rPr>
        <w:t>Interconnection in accordance with the requirements of section 251(c)(2) and 252 (d)(1).</w:t>
      </w:r>
    </w:p>
    <w:p>
      <w:pPr>
        <w:pStyle w:val="Subtitle"/>
        <w:numPr>
          <w:ilvl w:val="0"/>
          <w:numId w:val="2"/>
        </w:numPr>
        <w:rPr>
          <w:b w:val="false"/>
          <w:bCs w:val="false"/>
          <w:sz w:val="22"/>
        </w:rPr>
      </w:pPr>
      <w:r>
        <w:rPr>
          <w:b w:val="false"/>
          <w:bCs w:val="false"/>
          <w:sz w:val="22"/>
        </w:rPr>
        <w:t>Nondiscriminatory access to network elements in accordance with the requirements of sections 251(c)(3) and 252(d)(1).</w:t>
      </w:r>
    </w:p>
    <w:p>
      <w:pPr>
        <w:pStyle w:val="Subtitle"/>
        <w:numPr>
          <w:ilvl w:val="0"/>
          <w:numId w:val="2"/>
        </w:numPr>
        <w:rPr>
          <w:b w:val="false"/>
          <w:bCs w:val="false"/>
          <w:sz w:val="22"/>
        </w:rPr>
      </w:pPr>
      <w:r>
        <w:rPr>
          <w:b w:val="false"/>
          <w:bCs w:val="false"/>
          <w:sz w:val="22"/>
        </w:rPr>
        <w:t>Nondiscriminatory access to the poles, ducts, conduits, and rights-of-way owned or controlled by the Bell operating company at just and reasonable rates in accordance with the requirements of section 224.</w:t>
      </w:r>
    </w:p>
    <w:p>
      <w:pPr>
        <w:pStyle w:val="Subtitle"/>
        <w:numPr>
          <w:ilvl w:val="0"/>
          <w:numId w:val="2"/>
        </w:numPr>
        <w:rPr>
          <w:b w:val="false"/>
          <w:bCs w:val="false"/>
          <w:sz w:val="22"/>
        </w:rPr>
      </w:pPr>
      <w:r>
        <w:rPr>
          <w:b w:val="false"/>
          <w:bCs w:val="false"/>
          <w:sz w:val="22"/>
        </w:rPr>
        <w:t>Local loop transmission from the central office to the customer’s premises, unbundled from local switching or other services.</w:t>
      </w:r>
    </w:p>
    <w:p>
      <w:pPr>
        <w:pStyle w:val="Subtitle"/>
        <w:numPr>
          <w:ilvl w:val="0"/>
          <w:numId w:val="2"/>
        </w:numPr>
        <w:rPr>
          <w:b w:val="false"/>
          <w:bCs w:val="false"/>
          <w:sz w:val="22"/>
        </w:rPr>
      </w:pPr>
      <w:r>
        <w:rPr>
          <w:b w:val="false"/>
          <w:bCs w:val="false"/>
          <w:sz w:val="22"/>
        </w:rPr>
        <w:t>Local transport from the trunk side of a wireline local exchange carrier switch unbundled from switching or other services.</w:t>
      </w:r>
    </w:p>
    <w:p>
      <w:pPr>
        <w:pStyle w:val="Subtitle"/>
        <w:numPr>
          <w:ilvl w:val="0"/>
          <w:numId w:val="2"/>
        </w:numPr>
        <w:rPr>
          <w:b w:val="false"/>
          <w:bCs w:val="false"/>
          <w:sz w:val="22"/>
        </w:rPr>
      </w:pPr>
      <w:r>
        <w:rPr>
          <w:b w:val="false"/>
          <w:bCs w:val="false"/>
          <w:sz w:val="22"/>
        </w:rPr>
        <w:t>Local switching unbundled from transport, local loop transmission, or other services.</w:t>
      </w:r>
    </w:p>
    <w:p>
      <w:pPr>
        <w:pStyle w:val="Subtitle"/>
        <w:numPr>
          <w:ilvl w:val="0"/>
          <w:numId w:val="2"/>
        </w:numPr>
        <w:rPr>
          <w:b w:val="false"/>
          <w:bCs w:val="false"/>
          <w:sz w:val="22"/>
        </w:rPr>
      </w:pPr>
      <w:r>
        <w:rPr>
          <w:b w:val="false"/>
          <w:bCs w:val="false"/>
          <w:sz w:val="22"/>
        </w:rPr>
        <w:t>Nondiscriminatory access to 911 and E911 services; directory assistance services to allow the other carrier’s customers to obtain telephone numbers; and operator call completion services.</w:t>
      </w:r>
    </w:p>
    <w:p>
      <w:pPr>
        <w:pStyle w:val="Subtitle"/>
        <w:numPr>
          <w:ilvl w:val="0"/>
          <w:numId w:val="2"/>
        </w:numPr>
        <w:rPr>
          <w:b w:val="false"/>
          <w:bCs w:val="false"/>
          <w:sz w:val="22"/>
        </w:rPr>
      </w:pPr>
      <w:r>
        <w:rPr>
          <w:b w:val="false"/>
          <w:bCs w:val="false"/>
          <w:sz w:val="22"/>
        </w:rPr>
        <w:t>White pages directory listings for customers of the other carrier’s telephone exchange service.</w:t>
      </w:r>
    </w:p>
    <w:p>
      <w:pPr>
        <w:pStyle w:val="Subtitle"/>
        <w:numPr>
          <w:ilvl w:val="0"/>
          <w:numId w:val="2"/>
        </w:numPr>
        <w:rPr>
          <w:b w:val="false"/>
          <w:bCs w:val="false"/>
          <w:sz w:val="22"/>
        </w:rPr>
      </w:pPr>
      <w:r>
        <w:rPr>
          <w:b w:val="false"/>
          <w:bCs w:val="false"/>
          <w:sz w:val="22"/>
        </w:rPr>
        <w:t>Until the date by which telecommunications numbering administration guidelines, plan, or rules are established, nondiscriminatory access to telephone numbers for assignment to the other carrier’s telephone exchange service customers.  After that date, compliance with such guidelines, plan, or rules.</w:t>
      </w:r>
    </w:p>
    <w:p>
      <w:pPr>
        <w:pStyle w:val="Subtitle"/>
        <w:numPr>
          <w:ilvl w:val="0"/>
          <w:numId w:val="2"/>
        </w:numPr>
        <w:rPr>
          <w:b w:val="false"/>
          <w:bCs w:val="false"/>
          <w:sz w:val="22"/>
        </w:rPr>
      </w:pPr>
      <w:r>
        <w:rPr>
          <w:b w:val="false"/>
          <w:bCs w:val="false"/>
          <w:sz w:val="22"/>
        </w:rPr>
        <w:t>Nondiscriminatory access to databases and associated signaling necessary for call routing and completion.</w:t>
      </w:r>
    </w:p>
    <w:p>
      <w:pPr>
        <w:pStyle w:val="Subtitle"/>
        <w:numPr>
          <w:ilvl w:val="0"/>
          <w:numId w:val="2"/>
        </w:numPr>
        <w:rPr>
          <w:b w:val="false"/>
          <w:bCs w:val="false"/>
          <w:sz w:val="22"/>
        </w:rPr>
      </w:pPr>
      <w:r>
        <w:rPr>
          <w:b w:val="false"/>
          <w:bCs w:val="false"/>
          <w:sz w:val="22"/>
        </w:rPr>
        <w:t>Until the date by which the Commission issues regulations pursuant to section 251 to require number portability, interim telecommunications number portability through remote call forwarding, direct inward dialing trunks, or other comparable arrangements, with as little impairment of functioning, quality, reliability, and convenience as possible.  After that date, full compliance with such regulations.</w:t>
      </w:r>
    </w:p>
    <w:p>
      <w:pPr>
        <w:pStyle w:val="Subtitle"/>
        <w:numPr>
          <w:ilvl w:val="0"/>
          <w:numId w:val="2"/>
        </w:numPr>
        <w:rPr>
          <w:b w:val="false"/>
          <w:bCs w:val="false"/>
          <w:sz w:val="22"/>
        </w:rPr>
      </w:pPr>
      <w:r>
        <w:rPr>
          <w:b w:val="false"/>
          <w:bCs w:val="false"/>
          <w:sz w:val="22"/>
        </w:rPr>
        <w:t>Nondiscriminatory access to such services or information as are necessary to allow the requesting carrier to implement local dialing parity in accordance with the requirements of section 251(b)(3).</w:t>
      </w:r>
    </w:p>
    <w:p>
      <w:pPr>
        <w:pStyle w:val="Subtitle"/>
        <w:numPr>
          <w:ilvl w:val="0"/>
          <w:numId w:val="2"/>
        </w:numPr>
        <w:rPr>
          <w:b w:val="false"/>
          <w:bCs w:val="false"/>
          <w:sz w:val="22"/>
        </w:rPr>
      </w:pPr>
      <w:r>
        <w:rPr>
          <w:b w:val="false"/>
          <w:bCs w:val="false"/>
          <w:sz w:val="22"/>
        </w:rPr>
        <w:t>Reciprocal compensation arrangements in accordance with the requirements of section 252(d)(2).</w:t>
      </w:r>
    </w:p>
    <w:p>
      <w:pPr>
        <w:pStyle w:val="Subtitle"/>
        <w:numPr>
          <w:ilvl w:val="0"/>
          <w:numId w:val="2"/>
        </w:numPr>
        <w:rPr/>
      </w:pPr>
      <w:r>
        <w:rPr>
          <w:b w:val="false"/>
          <w:bCs w:val="false"/>
          <w:sz w:val="22"/>
        </w:rPr>
        <w:t>Telecommunications services are available for resale in accordance with the requirements of sections 251(c)(4) and 252(d)(3).</w:t>
      </w:r>
    </w:p>
    <w:p>
      <w:pPr>
        <w:pStyle w:val="Subtitle"/>
        <w:numPr>
          <w:ilvl w:val="0"/>
          <w:numId w:val="0"/>
        </w:numPr>
        <w:ind w:hanging="0" w:start="1440" w:end="0"/>
        <w:rPr/>
      </w:pPr>
      <w:r>
        <w:rPr/>
      </w:r>
    </w:p>
    <w:p>
      <w:pPr>
        <w:pStyle w:val="Subtitle"/>
        <w:numPr>
          <w:ilvl w:val="0"/>
          <w:numId w:val="0"/>
        </w:numPr>
        <w:ind w:hanging="0" w:start="720" w:end="0"/>
        <w:rPr/>
      </w:pPr>
      <w:r>
        <w:rPr/>
        <w:t xml:space="preserve">-&gt; </w:t>
      </w:r>
      <w:r>
        <w:rPr>
          <w:b w:val="false"/>
          <w:bCs w:val="false"/>
        </w:rPr>
        <w:t>As of June 2001, five states approved for Section 271 Long Distance Service: NY (12/22/1999), MA (4/16/2001), TX (7/10/2000), OK (3/7/2001) and KS (3/7/2001); KS and OK were approved simultaneously as a Joint Application had been filed by SBC for 271 authority in both states.</w:t>
      </w:r>
    </w:p>
    <w:p>
      <w:pPr>
        <w:pStyle w:val="Subtitle"/>
        <w:numPr>
          <w:ilvl w:val="0"/>
          <w:numId w:val="0"/>
        </w:numPr>
        <w:ind w:hanging="0" w:start="720" w:end="0"/>
        <w:rPr>
          <w:b w:val="false"/>
          <w:bCs w:val="false"/>
        </w:rPr>
      </w:pPr>
      <w:r>
        <w:rPr>
          <w:b w:val="false"/>
          <w:bCs w:val="false"/>
        </w:rPr>
      </w:r>
    </w:p>
    <w:p>
      <w:pPr>
        <w:pStyle w:val="Subtitle"/>
        <w:numPr>
          <w:ilvl w:val="0"/>
          <w:numId w:val="0"/>
        </w:numPr>
        <w:ind w:hanging="0" w:start="720" w:end="0"/>
        <w:rPr>
          <w:b w:val="false"/>
          <w:bCs w:val="false"/>
        </w:rPr>
      </w:pPr>
      <w:r>
        <w:rPr>
          <w:b w:val="false"/>
          <w:bCs w:val="false"/>
        </w:rPr>
        <w:t>-&gt; Verizon’s applications for Section 271 approval in CT (filed 4/23/2001) and PA (filed 6/21/2001) are pending at the FCC.</w:t>
      </w:r>
    </w:p>
    <w:p>
      <w:pPr>
        <w:pStyle w:val="Subtitle"/>
        <w:numPr>
          <w:ilvl w:val="0"/>
          <w:numId w:val="0"/>
        </w:numPr>
        <w:ind w:hanging="0" w:start="720" w:end="0"/>
        <w:rPr>
          <w:b w:val="false"/>
          <w:bCs w:val="false"/>
        </w:rPr>
      </w:pPr>
      <w:r>
        <w:rPr>
          <w:b w:val="false"/>
          <w:bCs w:val="false"/>
        </w:rPr>
      </w:r>
    </w:p>
    <w:p>
      <w:pPr>
        <w:pStyle w:val="Subtitle"/>
        <w:numPr>
          <w:ilvl w:val="0"/>
          <w:numId w:val="0"/>
        </w:numPr>
        <w:ind w:hanging="0" w:start="720" w:end="0"/>
        <w:rPr>
          <w:b w:val="false"/>
          <w:bCs w:val="false"/>
        </w:rPr>
      </w:pPr>
      <w:r>
        <w:rPr>
          <w:b w:val="false"/>
          <w:bCs w:val="false"/>
        </w:rPr>
        <w:t>-&gt; After filing a 271 application with the FCC, the FCC has 90 days to determine whether the incumbent has take the necessary steps to open its local telecommunications marketplace to competition, including compliance with the 14-point checklist.</w:t>
      </w:r>
    </w:p>
    <w:p>
      <w:pPr>
        <w:pStyle w:val="Subtitle"/>
        <w:numPr>
          <w:ilvl w:val="0"/>
          <w:numId w:val="0"/>
        </w:numPr>
        <w:ind w:hanging="0" w:start="720" w:end="0"/>
        <w:rPr>
          <w:b w:val="false"/>
          <w:bCs w:val="false"/>
        </w:rPr>
      </w:pPr>
      <w:r>
        <w:rPr>
          <w:b w:val="false"/>
          <w:bCs w:val="false"/>
        </w:rPr>
      </w:r>
    </w:p>
    <w:p>
      <w:pPr>
        <w:pStyle w:val="Subtitle"/>
        <w:numPr>
          <w:ilvl w:val="0"/>
          <w:numId w:val="0"/>
        </w:numPr>
        <w:ind w:hanging="0" w:start="720" w:end="0"/>
        <w:rPr>
          <w:b w:val="false"/>
          <w:bCs w:val="false"/>
        </w:rPr>
      </w:pPr>
      <w:r>
        <w:rPr>
          <w:b w:val="false"/>
          <w:bCs w:val="false"/>
        </w:rPr>
        <w:t>-&gt; The FCC must consult with the Department of Justice and the relevant state regulatory commission on a 271 application; the state commission makes a recommendation to the FCC, but the FCC makes the ultimate decision.</w:t>
      </w:r>
    </w:p>
    <w:p>
      <w:pPr>
        <w:pStyle w:val="Subtitle"/>
        <w:numPr>
          <w:ilvl w:val="0"/>
          <w:numId w:val="0"/>
        </w:numPr>
        <w:ind w:hanging="0" w:start="720" w:end="0"/>
        <w:rPr>
          <w:b w:val="false"/>
          <w:bCs w:val="false"/>
        </w:rPr>
      </w:pPr>
      <w:r>
        <w:rPr>
          <w:b w:val="false"/>
          <w:bCs w:val="false"/>
        </w:rPr>
      </w:r>
    </w:p>
    <w:p>
      <w:pPr>
        <w:pStyle w:val="Normal"/>
        <w:numPr>
          <w:ilvl w:val="1"/>
          <w:numId w:val="3"/>
        </w:numPr>
        <w:rPr>
          <w:b/>
          <w:bCs/>
        </w:rPr>
      </w:pPr>
      <w:r>
        <w:rPr>
          <w:b/>
          <w:bCs/>
        </w:rPr>
        <w:t xml:space="preserve">Verizon </w:t>
      </w:r>
    </w:p>
    <w:p>
      <w:pPr>
        <w:pStyle w:val="Normal"/>
        <w:numPr>
          <w:ilvl w:val="2"/>
          <w:numId w:val="3"/>
        </w:numPr>
        <w:rPr/>
      </w:pPr>
      <w:r>
        <w:rPr/>
        <w:t>Question: After NY, was MA a “me too” application that the FCC approved regardless of actual compliance with the 14-point checklist set forth in section 271? -&gt; RBOC Bias</w:t>
      </w:r>
    </w:p>
    <w:p>
      <w:pPr>
        <w:pStyle w:val="Normal"/>
        <w:numPr>
          <w:ilvl w:val="2"/>
          <w:numId w:val="3"/>
        </w:numPr>
        <w:rPr/>
      </w:pPr>
      <w:r>
        <w:rPr/>
        <w:t>NY – approved 12/22/1999</w:t>
      </w:r>
    </w:p>
    <w:p>
      <w:pPr>
        <w:pStyle w:val="Normal"/>
        <w:numPr>
          <w:ilvl w:val="2"/>
          <w:numId w:val="3"/>
        </w:numPr>
        <w:rPr/>
      </w:pPr>
      <w:r>
        <w:rPr/>
        <w:t>MA  -- approved 4/16/2001</w:t>
      </w:r>
    </w:p>
    <w:p>
      <w:pPr>
        <w:pStyle w:val="Normal"/>
        <w:numPr>
          <w:ilvl w:val="3"/>
          <w:numId w:val="3"/>
        </w:numPr>
        <w:rPr/>
      </w:pPr>
      <w:r>
        <w:rPr/>
        <w:t>FCC Commissioner Gloria Tristani dissented, claiming Verizon had not established that its switching rates are based on forward-looking, total element long run incremental cost (“”TELRIC”) of providing that network element; still needs to demonstrate the availability of UNEs at cost-based rates.</w:t>
      </w:r>
    </w:p>
    <w:p>
      <w:pPr>
        <w:pStyle w:val="Normal"/>
        <w:numPr>
          <w:ilvl w:val="4"/>
          <w:numId w:val="3"/>
        </w:numPr>
        <w:rPr/>
      </w:pPr>
      <w:r>
        <w:rPr/>
        <w:t>In Tristani’s dissent, she claimed that: “Indeed the majority has sent a signal that it will allow reliance on previously approved rates, irrespective of the amount of time passed or pricing information gathered since those rates were last before us.”</w:t>
      </w:r>
    </w:p>
    <w:p>
      <w:pPr>
        <w:pStyle w:val="Normal"/>
        <w:numPr>
          <w:ilvl w:val="3"/>
          <w:numId w:val="3"/>
        </w:numPr>
        <w:rPr/>
      </w:pPr>
      <w:r>
        <w:rPr/>
        <w:t xml:space="preserve">MA Attorney General Tom Reilly has appealed the FCC’s decision to the D.C. Circuit Court of Appeals; he claims that Verizon’s wholesale rates have not been investigated, are not based on MA-specific costs, and will discourage local competition for residential customers.  </w:t>
      </w:r>
    </w:p>
    <w:p>
      <w:pPr>
        <w:pStyle w:val="Normal"/>
        <w:numPr>
          <w:ilvl w:val="4"/>
          <w:numId w:val="3"/>
        </w:numPr>
        <w:rPr/>
      </w:pPr>
      <w:r>
        <w:rPr/>
        <w:t>The lawsuit alleges that the court should overturn the FCC ruling and block Verizon from offering long distance in MA until an investigation by state regulators into Verizon’s rates can be finished.</w:t>
      </w:r>
    </w:p>
    <w:p>
      <w:pPr>
        <w:pStyle w:val="Normal"/>
        <w:numPr>
          <w:ilvl w:val="4"/>
          <w:numId w:val="3"/>
        </w:numPr>
        <w:rPr/>
      </w:pPr>
      <w:r>
        <w:rPr/>
        <w:t>The appeal also claims that the FCC has acted arbitrarily, capriciously, and contrary to law by approving Verizon’s application, even though 3 Commissioners (Chairman Powell, Comm. Ness and Comm. Tristani) expressed their concerns about Verizon’s UNE switching rates.</w:t>
      </w:r>
    </w:p>
    <w:p>
      <w:pPr>
        <w:pStyle w:val="Normal"/>
        <w:numPr>
          <w:ilvl w:val="4"/>
          <w:numId w:val="3"/>
        </w:numPr>
        <w:rPr/>
      </w:pPr>
      <w:r>
        <w:rPr/>
        <w:t>NOTE: While the MA state commission has opened an investigation into Verizon’s wholesale services, that investigation allegedly will not produce new UNE rates until next winter at the earliest.</w:t>
      </w:r>
    </w:p>
    <w:p>
      <w:pPr>
        <w:pStyle w:val="Normal"/>
        <w:ind w:start="720" w:end="0"/>
        <w:rPr/>
      </w:pPr>
      <w:r>
        <w:rPr/>
      </w:r>
    </w:p>
    <w:p>
      <w:pPr>
        <w:pStyle w:val="Subtitle"/>
        <w:numPr>
          <w:ilvl w:val="0"/>
          <w:numId w:val="3"/>
        </w:numPr>
        <w:ind w:hanging="0" w:start="0"/>
        <w:rPr/>
      </w:pPr>
      <w:r>
        <w:rPr/>
        <w:t xml:space="preserve">RBOC Bias -&gt; Flexibility in the Pricing of Access Services Irrespective of the Lack of Competition </w:t>
      </w:r>
    </w:p>
    <w:p>
      <w:pPr>
        <w:pStyle w:val="Subtitle"/>
        <w:numPr>
          <w:ilvl w:val="0"/>
          <w:numId w:val="0"/>
        </w:numPr>
        <w:ind w:hanging="0" w:start="360" w:end="0"/>
        <w:rPr/>
      </w:pPr>
      <w:r>
        <w:rPr/>
      </w:r>
    </w:p>
    <w:p>
      <w:pPr>
        <w:pStyle w:val="Subtitle"/>
        <w:numPr>
          <w:ilvl w:val="0"/>
          <w:numId w:val="0"/>
        </w:numPr>
        <w:ind w:hanging="0" w:start="720" w:end="0"/>
        <w:rPr/>
      </w:pPr>
      <w:r>
        <w:rPr/>
        <w:t xml:space="preserve">-&gt; </w:t>
      </w:r>
      <w:r>
        <w:rPr>
          <w:b w:val="false"/>
          <w:bCs w:val="false"/>
        </w:rPr>
        <w:t>BellSouth received authority from the FCC for pricing flexibility 2/22/2001.</w:t>
      </w:r>
    </w:p>
    <w:p>
      <w:pPr>
        <w:pStyle w:val="Subtitle"/>
        <w:numPr>
          <w:ilvl w:val="0"/>
          <w:numId w:val="0"/>
        </w:numPr>
        <w:ind w:hanging="0" w:start="720" w:end="0"/>
        <w:rPr>
          <w:b w:val="false"/>
          <w:bCs w:val="false"/>
        </w:rPr>
      </w:pPr>
      <w:r>
        <w:rPr>
          <w:b w:val="false"/>
          <w:bCs w:val="false"/>
        </w:rPr>
      </w:r>
    </w:p>
    <w:p>
      <w:pPr>
        <w:pStyle w:val="Subtitle"/>
        <w:numPr>
          <w:ilvl w:val="0"/>
          <w:numId w:val="0"/>
        </w:numPr>
        <w:ind w:hanging="0" w:start="720" w:end="0"/>
        <w:rPr>
          <w:b w:val="false"/>
          <w:bCs w:val="false"/>
        </w:rPr>
      </w:pPr>
      <w:r>
        <w:rPr>
          <w:b w:val="false"/>
          <w:bCs w:val="false"/>
        </w:rPr>
        <w:t>-&gt; Verizon and SBC received authority from the FCC for pricing flexibility 3/13/2001.</w:t>
      </w:r>
    </w:p>
    <w:p>
      <w:pPr>
        <w:pStyle w:val="Subtitle"/>
        <w:numPr>
          <w:ilvl w:val="0"/>
          <w:numId w:val="0"/>
        </w:numPr>
        <w:ind w:hanging="0" w:start="720" w:end="0"/>
        <w:rPr>
          <w:b w:val="false"/>
          <w:bCs w:val="false"/>
        </w:rPr>
      </w:pPr>
      <w:r>
        <w:rPr>
          <w:b w:val="false"/>
          <w:bCs w:val="false"/>
        </w:rPr>
      </w:r>
    </w:p>
    <w:p>
      <w:pPr>
        <w:pStyle w:val="Subtitle"/>
        <w:numPr>
          <w:ilvl w:val="0"/>
          <w:numId w:val="0"/>
        </w:numPr>
        <w:ind w:hanging="0" w:start="720" w:end="0"/>
        <w:rPr>
          <w:b w:val="false"/>
          <w:bCs w:val="false"/>
        </w:rPr>
      </w:pPr>
      <w:r>
        <w:rPr>
          <w:b w:val="false"/>
          <w:bCs w:val="false"/>
        </w:rPr>
        <w:t>-&gt; Qwest has not filed with the FCC for pricing flexibility.</w:t>
      </w:r>
    </w:p>
    <w:p>
      <w:pPr>
        <w:pStyle w:val="Subtitle"/>
        <w:numPr>
          <w:ilvl w:val="0"/>
          <w:numId w:val="0"/>
        </w:numPr>
        <w:ind w:hanging="0" w:start="720" w:end="0"/>
        <w:rPr>
          <w:b w:val="false"/>
          <w:bCs w:val="false"/>
        </w:rPr>
      </w:pPr>
      <w:r>
        <w:rPr>
          <w:b w:val="false"/>
          <w:bCs w:val="false"/>
        </w:rPr>
      </w:r>
    </w:p>
    <w:p>
      <w:pPr>
        <w:pStyle w:val="Subtitle"/>
        <w:numPr>
          <w:ilvl w:val="0"/>
          <w:numId w:val="0"/>
        </w:numPr>
        <w:ind w:hanging="0" w:start="720" w:end="0"/>
        <w:rPr>
          <w:b w:val="false"/>
          <w:bCs w:val="false"/>
        </w:rPr>
      </w:pPr>
      <w:r>
        <w:rPr>
          <w:b w:val="false"/>
          <w:bCs w:val="false"/>
        </w:rPr>
        <w:t>-&gt; NOTE: Pricing flexibility is granted on a metropolitan statistical area (“MSA”) basis.</w:t>
      </w:r>
    </w:p>
    <w:p>
      <w:pPr>
        <w:pStyle w:val="Subtitle"/>
        <w:numPr>
          <w:ilvl w:val="0"/>
          <w:numId w:val="0"/>
        </w:numPr>
        <w:ind w:hanging="0" w:start="720" w:end="0"/>
        <w:rPr>
          <w:b w:val="false"/>
          <w:bCs w:val="false"/>
        </w:rPr>
      </w:pPr>
      <w:r>
        <w:rPr>
          <w:b w:val="false"/>
          <w:bCs w:val="false"/>
        </w:rPr>
      </w:r>
    </w:p>
    <w:p>
      <w:pPr>
        <w:pStyle w:val="Subtitle"/>
        <w:numPr>
          <w:ilvl w:val="0"/>
          <w:numId w:val="0"/>
        </w:numPr>
        <w:ind w:hanging="0" w:start="720" w:end="0"/>
        <w:rPr>
          <w:b w:val="false"/>
          <w:bCs w:val="false"/>
        </w:rPr>
      </w:pPr>
      <w:r>
        <w:rPr>
          <w:b w:val="false"/>
          <w:bCs w:val="false"/>
        </w:rPr>
        <w:t>-&gt; NOTE: Pricing flexibility permits freedom to price almost all special access and direct trunked transport services without regard to the FCC’s Part 61 price cap rules and Part 69 access rules.</w:t>
      </w:r>
    </w:p>
    <w:p>
      <w:pPr>
        <w:pStyle w:val="Subtitle"/>
        <w:numPr>
          <w:ilvl w:val="0"/>
          <w:numId w:val="0"/>
        </w:numPr>
        <w:ind w:hanging="0" w:start="1080" w:end="0"/>
        <w:rPr>
          <w:b w:val="false"/>
          <w:bCs w:val="false"/>
        </w:rPr>
      </w:pPr>
      <w:r>
        <w:rPr>
          <w:b w:val="false"/>
          <w:bCs w:val="false"/>
        </w:rPr>
        <w:t>-&gt; Services can be priced using any structure and at any level, as long as rates are at or above their average variable cost (an incremental cost standard).</w:t>
      </w:r>
    </w:p>
    <w:p>
      <w:pPr>
        <w:pStyle w:val="Subtitle"/>
        <w:numPr>
          <w:ilvl w:val="0"/>
          <w:numId w:val="0"/>
        </w:numPr>
        <w:ind w:hanging="0" w:start="1080" w:end="0"/>
        <w:rPr>
          <w:b w:val="false"/>
          <w:bCs w:val="false"/>
        </w:rPr>
      </w:pPr>
      <w:r>
        <w:rPr>
          <w:b w:val="false"/>
          <w:bCs w:val="false"/>
        </w:rPr>
        <w:t>-&gt; Special access and dedicated transport services are permitted to be priced at off-tariff rates in individual customer contracts, restricted only in that the contracts must be made available to similarly situated customers.</w:t>
      </w:r>
    </w:p>
    <w:p>
      <w:pPr>
        <w:pStyle w:val="Subtitle"/>
        <w:numPr>
          <w:ilvl w:val="0"/>
          <w:numId w:val="0"/>
        </w:numPr>
        <w:ind w:hanging="720" w:start="1080" w:end="0"/>
        <w:rPr>
          <w:b w:val="false"/>
          <w:bCs w:val="false"/>
        </w:rPr>
      </w:pPr>
      <w:r>
        <w:rPr>
          <w:b w:val="false"/>
          <w:bCs w:val="false"/>
        </w:rPr>
      </w:r>
    </w:p>
    <w:p>
      <w:pPr>
        <w:pStyle w:val="Subtitle"/>
        <w:numPr>
          <w:ilvl w:val="0"/>
          <w:numId w:val="0"/>
        </w:numPr>
        <w:ind w:hanging="360" w:start="1080" w:end="0"/>
        <w:rPr>
          <w:b w:val="false"/>
          <w:bCs w:val="false"/>
        </w:rPr>
      </w:pPr>
      <w:r>
        <w:rPr>
          <w:b w:val="false"/>
          <w:bCs w:val="false"/>
        </w:rPr>
        <w:t>-&gt; NOTE: Negotiated discounts are meant to be documented in tariffed contracts that the incumbents file with the FCC; to date, no contracts have been filed and there is no record of any deal that has been made subject to the pricing flexibility authority that BellSouth, Verizon and SBC individually possess.</w:t>
      </w:r>
    </w:p>
    <w:p>
      <w:pPr>
        <w:pStyle w:val="Subtitle"/>
        <w:numPr>
          <w:ilvl w:val="0"/>
          <w:numId w:val="0"/>
        </w:numPr>
        <w:ind w:hanging="0" w:start="720" w:end="0"/>
        <w:rPr>
          <w:b w:val="false"/>
          <w:bCs w:val="false"/>
        </w:rPr>
      </w:pPr>
      <w:r>
        <w:rPr>
          <w:b w:val="false"/>
          <w:bCs w:val="false"/>
        </w:rPr>
      </w:r>
    </w:p>
    <w:p>
      <w:pPr>
        <w:pStyle w:val="Normal"/>
        <w:numPr>
          <w:ilvl w:val="1"/>
          <w:numId w:val="3"/>
        </w:numPr>
        <w:rPr>
          <w:b/>
          <w:bCs/>
        </w:rPr>
      </w:pPr>
      <w:r>
        <w:rPr>
          <w:b/>
          <w:bCs/>
        </w:rPr>
        <w:t>Pricing flexibility is made available in 2 phases:</w:t>
      </w:r>
    </w:p>
    <w:p>
      <w:pPr>
        <w:pStyle w:val="Normal"/>
        <w:numPr>
          <w:ilvl w:val="2"/>
          <w:numId w:val="3"/>
        </w:numPr>
        <w:rPr/>
      </w:pPr>
      <w:r>
        <w:rPr>
          <w:b/>
          <w:bCs/>
        </w:rPr>
        <w:t>Phase I:</w:t>
      </w:r>
      <w:r>
        <w:rPr/>
        <w:t xml:space="preserve"> Incumbent permitted to offer contract tariffs and volume discounts on one day’s notice while still required to maintain generally available price cap constrained tariff rates; incumbent not permitted to offer a contract tariff to an affiliate unless and until an unaffiliated customer first purchases service pursuant to that contract.</w:t>
      </w:r>
    </w:p>
    <w:p>
      <w:pPr>
        <w:pStyle w:val="Normal"/>
        <w:numPr>
          <w:ilvl w:val="2"/>
          <w:numId w:val="3"/>
        </w:numPr>
        <w:rPr/>
      </w:pPr>
      <w:r>
        <w:rPr>
          <w:b/>
          <w:bCs/>
        </w:rPr>
        <w:t>Phase II:</w:t>
      </w:r>
      <w:r>
        <w:rPr/>
        <w:t xml:space="preserve"> Prices removed from price cap and access structure regulation.</w:t>
      </w:r>
    </w:p>
    <w:p>
      <w:pPr>
        <w:pStyle w:val="Normal"/>
        <w:numPr>
          <w:ilvl w:val="1"/>
          <w:numId w:val="3"/>
        </w:numPr>
        <w:rPr>
          <w:b/>
          <w:bCs/>
        </w:rPr>
      </w:pPr>
      <w:r>
        <w:rPr>
          <w:b/>
          <w:bCs/>
        </w:rPr>
        <w:t>Competitive showings required to be filed with FCC to obtain Phase I and Phase II pricing flexibility:</w:t>
      </w:r>
    </w:p>
    <w:p>
      <w:pPr>
        <w:pStyle w:val="Normal"/>
        <w:numPr>
          <w:ilvl w:val="2"/>
          <w:numId w:val="3"/>
        </w:numPr>
        <w:rPr/>
      </w:pPr>
      <w:r>
        <w:rPr/>
        <w:t>For special access (except channel terminations) and dedicated transport services:</w:t>
      </w:r>
    </w:p>
    <w:p>
      <w:pPr>
        <w:pStyle w:val="Normal"/>
        <w:numPr>
          <w:ilvl w:val="3"/>
          <w:numId w:val="3"/>
        </w:numPr>
        <w:rPr/>
      </w:pPr>
      <w:r>
        <w:rPr/>
        <w:t>Phase I: Incumbent must demonstrate that competitors have collocated and are using competitive transport in 15% of the wire centers in the MSA, or in wire centers accounting for 30% of the revenues for that service in the MSA; unbundled elements do not count as competitive transport facilities.</w:t>
      </w:r>
    </w:p>
    <w:p>
      <w:pPr>
        <w:pStyle w:val="Normal"/>
        <w:numPr>
          <w:ilvl w:val="3"/>
          <w:numId w:val="3"/>
        </w:numPr>
        <w:rPr/>
      </w:pPr>
      <w:r>
        <w:rPr/>
        <w:t>Phase II: Incumbent must demonstrate that competitors have collocated and are using competitive transport in 50% of the wire centers in the MSA, or in wire centers accounting for 65% of the revenues for that service in the MSA; unbundled elements do not count as competitive transport facilities.</w:t>
      </w:r>
    </w:p>
    <w:p>
      <w:pPr>
        <w:pStyle w:val="Normal"/>
        <w:numPr>
          <w:ilvl w:val="2"/>
          <w:numId w:val="3"/>
        </w:numPr>
        <w:rPr/>
      </w:pPr>
      <w:r>
        <w:rPr/>
        <w:t>For channel terminations:</w:t>
      </w:r>
    </w:p>
    <w:p>
      <w:pPr>
        <w:pStyle w:val="Normal"/>
        <w:numPr>
          <w:ilvl w:val="3"/>
          <w:numId w:val="3"/>
        </w:numPr>
        <w:rPr/>
      </w:pPr>
      <w:r>
        <w:rPr/>
        <w:t>Phase I: Incumbent must demonstrate that competitors have collocated and are using competitive transport in 50% of the wire centers in the MSA, or in wire centers accounting for 65% of the revenues for that service in the MSA; unbundled elements do not count as competitive transport facilities.</w:t>
      </w:r>
    </w:p>
    <w:p>
      <w:pPr>
        <w:pStyle w:val="Normal"/>
        <w:numPr>
          <w:ilvl w:val="3"/>
          <w:numId w:val="3"/>
        </w:numPr>
        <w:rPr/>
      </w:pPr>
      <w:r>
        <w:rPr/>
        <w:t>Phase II: Incumbent must demonstrate that competitors have collocated and are using competitive transport in 65% of the wire centers in the MSA, or in wire centers accounting for 85% of the revenues for that service in the MSA; unbundled elements do not count as competitive transport.</w:t>
      </w:r>
    </w:p>
    <w:p>
      <w:pPr>
        <w:pStyle w:val="Normal"/>
        <w:numPr>
          <w:ilvl w:val="1"/>
          <w:numId w:val="3"/>
        </w:numPr>
        <w:rPr>
          <w:b/>
          <w:bCs/>
        </w:rPr>
      </w:pPr>
      <w:r>
        <w:rPr>
          <w:b/>
          <w:bCs/>
        </w:rPr>
        <w:t>Services qualifying for pricing flexibility vary from incumbent to incumbent</w:t>
      </w:r>
    </w:p>
    <w:p>
      <w:pPr>
        <w:pStyle w:val="Normal"/>
        <w:rPr>
          <w:b/>
          <w:bCs/>
        </w:rPr>
      </w:pPr>
      <w:r>
        <w:rPr>
          <w:b/>
          <w:bCs/>
        </w:rPr>
      </w:r>
    </w:p>
    <w:p>
      <w:pPr>
        <w:pStyle w:val="Subtitle"/>
        <w:numPr>
          <w:ilvl w:val="0"/>
          <w:numId w:val="3"/>
        </w:numPr>
        <w:ind w:hanging="0" w:start="0"/>
        <w:rPr/>
      </w:pPr>
      <w:r>
        <w:rPr/>
        <w:t>RBOC Bias -&gt; FCC Imposes Penalties (</w:t>
      </w:r>
      <w:r>
        <w:rPr>
          <w:i/>
          <w:iCs/>
        </w:rPr>
        <w:t>i.e.</w:t>
      </w:r>
      <w:r>
        <w:rPr/>
        <w:t>, Monetary Fines) for Merger Order Violations</w:t>
      </w:r>
    </w:p>
    <w:p>
      <w:pPr>
        <w:pStyle w:val="Subtitle"/>
        <w:numPr>
          <w:ilvl w:val="0"/>
          <w:numId w:val="0"/>
        </w:numPr>
        <w:ind w:hanging="0" w:start="360" w:end="0"/>
        <w:rPr/>
      </w:pPr>
      <w:r>
        <w:rPr/>
      </w:r>
    </w:p>
    <w:p>
      <w:pPr>
        <w:pStyle w:val="Subtitle"/>
        <w:numPr>
          <w:ilvl w:val="0"/>
          <w:numId w:val="0"/>
        </w:numPr>
        <w:ind w:hanging="0" w:start="720" w:end="0"/>
        <w:rPr>
          <w:b w:val="false"/>
          <w:bCs w:val="false"/>
        </w:rPr>
      </w:pPr>
      <w:r>
        <w:rPr>
          <w:b w:val="false"/>
          <w:bCs w:val="false"/>
        </w:rPr>
        <w:t xml:space="preserve">-&gt; Questions: </w:t>
      </w:r>
    </w:p>
    <w:p>
      <w:pPr>
        <w:pStyle w:val="Subtitle"/>
        <w:numPr>
          <w:ilvl w:val="0"/>
          <w:numId w:val="0"/>
        </w:numPr>
        <w:ind w:hanging="0" w:start="1440" w:end="0"/>
        <w:rPr>
          <w:b w:val="false"/>
          <w:bCs w:val="false"/>
        </w:rPr>
      </w:pPr>
      <w:r>
        <w:rPr>
          <w:b w:val="false"/>
          <w:bCs w:val="false"/>
        </w:rPr>
        <w:t>(1) Do monetary fines induce an incumbent to comply with the requirements of its merger order?</w:t>
      </w:r>
    </w:p>
    <w:p>
      <w:pPr>
        <w:pStyle w:val="Subtitle"/>
        <w:numPr>
          <w:ilvl w:val="0"/>
          <w:numId w:val="0"/>
        </w:numPr>
        <w:ind w:hanging="0" w:start="1440" w:end="0"/>
        <w:rPr/>
      </w:pPr>
      <w:r>
        <w:rPr>
          <w:b w:val="false"/>
          <w:bCs w:val="false"/>
        </w:rPr>
        <w:t>(2) Is a fine for less than $100,000 appropriate for an incumbent’s “willful and repeated” violation of its merger order? [</w:t>
      </w:r>
      <w:r>
        <w:rPr>
          <w:b w:val="false"/>
          <w:bCs w:val="false"/>
          <w:i/>
          <w:iCs/>
        </w:rPr>
        <w:t>See</w:t>
      </w:r>
      <w:r>
        <w:rPr>
          <w:b w:val="false"/>
          <w:bCs w:val="false"/>
        </w:rPr>
        <w:t xml:space="preserve"> below]</w:t>
      </w:r>
    </w:p>
    <w:p>
      <w:pPr>
        <w:pStyle w:val="Subtitle"/>
        <w:numPr>
          <w:ilvl w:val="0"/>
          <w:numId w:val="0"/>
        </w:numPr>
        <w:ind w:hanging="0" w:start="0"/>
        <w:rPr>
          <w:b w:val="false"/>
          <w:bCs w:val="false"/>
        </w:rPr>
      </w:pPr>
      <w:r>
        <w:rPr>
          <w:b w:val="false"/>
          <w:bCs w:val="false"/>
        </w:rPr>
      </w:r>
    </w:p>
    <w:p>
      <w:pPr>
        <w:pStyle w:val="Subtitle"/>
        <w:numPr>
          <w:ilvl w:val="1"/>
          <w:numId w:val="3"/>
        </w:numPr>
        <w:ind w:hanging="0" w:start="0"/>
        <w:rPr>
          <w:b w:val="false"/>
          <w:bCs w:val="false"/>
        </w:rPr>
      </w:pPr>
      <w:r>
        <w:rPr/>
        <w:t>5/29/2001</w:t>
      </w:r>
      <w:r>
        <w:rPr>
          <w:b w:val="false"/>
          <w:bCs w:val="false"/>
        </w:rPr>
        <w:t>: FCC upheld an $88,000 fine (originally imposed 3/14/2001) for “</w:t>
      </w:r>
      <w:r>
        <w:rPr/>
        <w:t>willfully and repeatedly</w:t>
      </w:r>
      <w:r>
        <w:rPr>
          <w:b w:val="false"/>
          <w:bCs w:val="false"/>
        </w:rPr>
        <w:t>” violating reporting requirements stemming from the merger; an audit report revealed that SBC used incorrect benchmarks and excluded key data from the reports for a period up to 13 months and SBC made “flawed” filings designed to show its performance in responding to facilities and service requests from competitors.</w:t>
      </w:r>
    </w:p>
    <w:p>
      <w:pPr>
        <w:pStyle w:val="Subtitle"/>
        <w:numPr>
          <w:ilvl w:val="1"/>
          <w:numId w:val="3"/>
        </w:numPr>
        <w:ind w:hanging="0" w:start="0"/>
        <w:rPr>
          <w:b w:val="false"/>
          <w:bCs w:val="false"/>
        </w:rPr>
      </w:pPr>
      <w:r>
        <w:rPr/>
        <w:t>5/24/2001</w:t>
      </w:r>
      <w:r>
        <w:rPr>
          <w:b w:val="false"/>
          <w:bCs w:val="false"/>
        </w:rPr>
        <w:t>: FCC imposed a $94,500 fine for violating the FCC’s collocation rules imposed pursuant to the FCC’s approval of the merger; SBC failed to comply with the posting requirement that it disclose on its Web site when its central office sites have run out of collocation space.</w:t>
      </w:r>
    </w:p>
    <w:p>
      <w:pPr>
        <w:pStyle w:val="Subtitle"/>
        <w:numPr>
          <w:ilvl w:val="1"/>
          <w:numId w:val="3"/>
        </w:numPr>
        <w:ind w:hanging="0" w:start="0"/>
        <w:rPr>
          <w:b w:val="false"/>
          <w:bCs w:val="false"/>
        </w:rPr>
      </w:pPr>
      <w:r>
        <w:rPr/>
        <w:t>12/22/2000</w:t>
      </w:r>
      <w:r>
        <w:rPr>
          <w:b w:val="false"/>
          <w:bCs w:val="false"/>
        </w:rPr>
        <w:t>: SBC paid $6.1 million for failing to meet service standards that it promised to adhere to in connection with the merger.</w:t>
      </w:r>
    </w:p>
    <w:p>
      <w:pPr>
        <w:pStyle w:val="Subtitle"/>
        <w:numPr>
          <w:ilvl w:val="0"/>
          <w:numId w:val="0"/>
        </w:numPr>
        <w:ind w:hanging="0" w:start="1080" w:end="0"/>
        <w:rPr>
          <w:b w:val="false"/>
          <w:bCs w:val="false"/>
        </w:rPr>
      </w:pPr>
      <w:r>
        <w:rPr>
          <w:b w:val="false"/>
          <w:bCs w:val="false"/>
        </w:rPr>
      </w:r>
    </w:p>
    <w:p>
      <w:pPr>
        <w:pStyle w:val="Subtitle"/>
        <w:numPr>
          <w:ilvl w:val="0"/>
          <w:numId w:val="0"/>
        </w:numPr>
        <w:ind w:hanging="0" w:start="1080" w:end="0"/>
        <w:rPr>
          <w:b w:val="false"/>
          <w:bCs w:val="false"/>
        </w:rPr>
      </w:pPr>
      <w:r>
        <w:rPr>
          <w:b w:val="false"/>
          <w:bCs w:val="false"/>
        </w:rPr>
        <w:t>-&gt; NOTE: FCC fined SBC $23 million from December 2000-April 2001 for not meeting the terms of the Order (10/6/1999) regarding its $74 billion merger with Ameritech; the fines assessed against SBC include its failure to install customers’ service by a promised date and not quickly informing competitors when it switches customers to a new carrier.</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Article %1."/>
      <w:lvlJc w:val="start"/>
      <w:pPr>
        <w:tabs>
          <w:tab w:val="num" w:pos="5400"/>
        </w:tabs>
        <w:ind w:start="0" w:hanging="0"/>
      </w:pPr>
    </w:lvl>
    <w:lvl w:ilvl="1">
      <w:start w:val="1"/>
      <w:pStyle w:val="Heading2"/>
      <w:isLgl/>
      <w:numFmt w:val="decimalZero"/>
      <w:lvlText w:val="Section %1.%2"/>
      <w:lvlJc w:val="start"/>
      <w:pPr>
        <w:tabs>
          <w:tab w:val="num" w:pos="6120"/>
        </w:tabs>
        <w:ind w:start="0" w:hanging="0"/>
      </w:pPr>
    </w:lvl>
    <w:lvl w:ilvl="2">
      <w:start w:val="1"/>
      <w:pStyle w:val="Heading3"/>
      <w:numFmt w:val="lowerLetter"/>
      <w:lvlText w:val="(%3)"/>
      <w:lvlJc w:val="start"/>
      <w:pPr>
        <w:tabs>
          <w:tab w:val="num" w:pos="1728"/>
        </w:tabs>
        <w:ind w:start="720" w:hanging="432"/>
      </w:pPr>
    </w:lvl>
    <w:lvl w:ilvl="3">
      <w:start w:val="1"/>
      <w:pStyle w:val="Heading4"/>
      <w:numFmt w:val="lowerRoman"/>
      <w:lvlText w:val="(%4)"/>
      <w:lvlJc w:val="end"/>
      <w:pPr>
        <w:tabs>
          <w:tab w:val="num" w:pos="864"/>
        </w:tabs>
        <w:ind w:start="864" w:hanging="144"/>
      </w:pPr>
    </w:lvl>
    <w:lvl w:ilvl="4">
      <w:start w:val="1"/>
      <w:pStyle w:val="Heading5"/>
      <w:numFmt w:val="decimal"/>
      <w:lvlText w:val="%5)"/>
      <w:lvlJc w:val="start"/>
      <w:pPr>
        <w:tabs>
          <w:tab w:val="num" w:pos="1656"/>
        </w:tabs>
        <w:ind w:start="1008" w:hanging="432"/>
      </w:pPr>
    </w:lvl>
    <w:lvl w:ilvl="5">
      <w:start w:val="1"/>
      <w:pStyle w:val="Heading6"/>
      <w:numFmt w:val="lowerLetter"/>
      <w:lvlText w:val="%6)"/>
      <w:lvlJc w:val="start"/>
      <w:pPr>
        <w:tabs>
          <w:tab w:val="num" w:pos="1800"/>
        </w:tabs>
        <w:ind w:start="1152" w:hanging="432"/>
      </w:pPr>
    </w:lvl>
    <w:lvl w:ilvl="6">
      <w:start w:val="1"/>
      <w:pStyle w:val="Heading7"/>
      <w:numFmt w:val="lowerRoman"/>
      <w:lvlText w:val="%7)"/>
      <w:lvlJc w:val="end"/>
      <w:pPr>
        <w:tabs>
          <w:tab w:val="num" w:pos="1296"/>
        </w:tabs>
        <w:ind w:start="1296" w:hanging="288"/>
      </w:pPr>
    </w:lvl>
    <w:lvl w:ilvl="7">
      <w:start w:val="1"/>
      <w:pStyle w:val="Heading8"/>
      <w:numFmt w:val="lowerLetter"/>
      <w:lvlText w:val="%8."/>
      <w:lvlJc w:val="start"/>
      <w:pPr>
        <w:tabs>
          <w:tab w:val="num" w:pos="2088"/>
        </w:tabs>
        <w:ind w:start="1440" w:hanging="432"/>
      </w:pPr>
    </w:lvl>
    <w:lvl w:ilvl="8">
      <w:start w:val="1"/>
      <w:pStyle w:val="Heading9"/>
      <w:numFmt w:val="lowerRoman"/>
      <w:lvlText w:val="%9."/>
      <w:lvlJc w:val="end"/>
      <w:pPr>
        <w:tabs>
          <w:tab w:val="num" w:pos="1584"/>
        </w:tabs>
        <w:ind w:start="1584" w:hanging="144"/>
      </w:pPr>
    </w:lvl>
  </w:abstractNum>
  <w:abstractNum w:abstractNumId="2">
    <w:lvl w:ilvl="0">
      <w:start w:val="1"/>
      <w:numFmt w:val="bullet"/>
      <w:lvlText w:val=""/>
      <w:lvlJc w:val="start"/>
      <w:pPr>
        <w:tabs>
          <w:tab w:val="num" w:pos="1800"/>
        </w:tabs>
        <w:ind w:start="1800" w:hanging="360"/>
      </w:pPr>
      <w:rPr>
        <w:rFonts w:ascii="Symbol" w:hAnsi="Symbol" w:cs="Symbol" w:hint="default"/>
      </w:rPr>
    </w:lvl>
  </w:abstractNum>
  <w:abstractNum w:abstractNumId="3">
    <w:lvl w:ilvl="0">
      <w:start w:val="1"/>
      <w:numFmt w:val="upperRoman"/>
      <w:lvlText w:val="%1."/>
      <w:lvlJc w:val="start"/>
      <w:pPr>
        <w:tabs>
          <w:tab w:val="num" w:pos="1080"/>
        </w:tabs>
        <w:ind w:start="108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eastAsia="Times New Roman" w:cs="Times New Roman"/>
      <w:b/>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style>
  <w:style w:type="character" w:styleId="WW8Num10z0">
    <w:name w:val="WW8Num10z0"/>
    <w:qFormat/>
    <w:rPr/>
  </w:style>
  <w:style w:type="character" w:styleId="WW8Num12z0">
    <w:name w:val="WW8Num12z0"/>
    <w:qFormat/>
    <w:rPr/>
  </w:style>
  <w:style w:type="character" w:styleId="WW8Num13z0">
    <w:name w:val="WW8Num13z0"/>
    <w:qFormat/>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sz w:val="28"/>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numPr>
        <w:ilvl w:val="0"/>
        <w:numId w:val="3"/>
      </w:numP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08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2001-06-25T16:36:00Z</dcterms:created>
  <dc:creator>lleibman</dc:creator>
  <dc:description/>
  <dc:language>en-CA</dc:language>
  <cp:lastModifiedBy>lleibman</cp:lastModifiedBy>
  <cp:lastPrinted>2001-06-26T17:09:00Z</cp:lastPrinted>
  <dcterms:modified xsi:type="dcterms:W3CDTF">2001-06-26T20:06:00Z</dcterms:modified>
  <cp:revision>105</cp:revision>
  <dc:subject/>
  <dc:title>FCC Regulatory Timeline: RBOC Bias Since the </dc:title>
</cp:coreProperties>
</file>