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Thomas J. Pisula</w:t>
      </w:r>
    </w:p>
    <w:p>
      <w:pPr>
        <w:pStyle w:val="Normal"/>
        <w:autoSpaceDE w:val="false"/>
        <w:jc w:val="center"/>
        <w:rPr>
          <w:rFonts w:ascii="Arial" w:hAnsi="Arial" w:cs="Arial"/>
          <w:sz w:val="20"/>
          <w:szCs w:val="20"/>
        </w:rPr>
      </w:pPr>
      <w:r>
        <w:rPr>
          <w:rFonts w:cs="Arial" w:ascii="Arial" w:hAnsi="Arial"/>
          <w:sz w:val="20"/>
          <w:szCs w:val="20"/>
        </w:rPr>
        <w:t>FIRST CALL ASSOCIATES, INC.</w:t>
      </w:r>
    </w:p>
    <w:p>
      <w:pPr>
        <w:pStyle w:val="Normal"/>
        <w:autoSpaceDE w:val="false"/>
        <w:jc w:val="center"/>
        <w:rPr>
          <w:rFonts w:ascii="Arial" w:hAnsi="Arial" w:cs="Arial"/>
          <w:sz w:val="20"/>
          <w:szCs w:val="20"/>
        </w:rPr>
      </w:pPr>
      <w:r>
        <w:rPr>
          <w:rFonts w:cs="Arial" w:ascii="Arial" w:hAnsi="Arial"/>
          <w:sz w:val="20"/>
          <w:szCs w:val="20"/>
        </w:rPr>
        <w:t>CONTACT:  AUDREY CULLEN (203) 602-2255</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OBJECTIVE: Obtain a position as an originator or trader.</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QUALIFICATIONS</w:t>
      </w:r>
    </w:p>
    <w:p>
      <w:pPr>
        <w:pStyle w:val="Normal"/>
        <w:autoSpaceDE w:val="false"/>
        <w:jc w:val="center"/>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Highly experienced successful Northeast natural gas trader.  Traded basis, capacity, physical and paper markets in the Eastern US.  Originated structured transactions, managed structured transactions, priced structured transactions and managed physical desk.</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EDUCATION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1983-1986   Duquesne University, Pittsburgh, PA</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EMPLOYMENT</w:t>
      </w:r>
    </w:p>
    <w:p>
      <w:pPr>
        <w:pStyle w:val="Normal"/>
        <w:rPr/>
      </w:pPr>
      <w:r>
        <w:rPr/>
      </w:r>
    </w:p>
    <w:p>
      <w:pPr>
        <w:pStyle w:val="Normal"/>
        <w:numPr>
          <w:ilvl w:val="1"/>
          <w:numId w:val="4"/>
        </w:numPr>
        <w:autoSpaceDE w:val="false"/>
        <w:rPr>
          <w:rFonts w:ascii="Arial" w:hAnsi="Arial" w:cs="Arial"/>
          <w:b/>
          <w:bCs/>
          <w:sz w:val="20"/>
          <w:szCs w:val="20"/>
        </w:rPr>
      </w:pPr>
      <w:r>
        <w:rPr>
          <w:rFonts w:cs="Arial" w:ascii="Arial" w:hAnsi="Arial"/>
          <w:b/>
          <w:bCs/>
          <w:sz w:val="20"/>
          <w:szCs w:val="20"/>
        </w:rPr>
        <w:t>Vice President Trading, Energy USA – TPC</w:t>
      </w:r>
    </w:p>
    <w:p>
      <w:pPr>
        <w:pStyle w:val="Normal"/>
        <w:autoSpaceDE w:val="false"/>
        <w:rPr>
          <w:rFonts w:ascii="Arial" w:hAnsi="Arial" w:cs="Arial"/>
          <w:b/>
          <w:bCs/>
          <w:sz w:val="20"/>
          <w:szCs w:val="20"/>
        </w:rPr>
      </w:pPr>
      <w:r>
        <w:rPr>
          <w:rFonts w:cs="Arial" w:ascii="Arial" w:hAnsi="Arial"/>
          <w:b/>
          <w:bCs/>
          <w:sz w:val="20"/>
          <w:szCs w:val="20"/>
        </w:rPr>
      </w:r>
    </w:p>
    <w:p>
      <w:pPr>
        <w:pStyle w:val="BodyText"/>
        <w:rPr/>
      </w:pPr>
      <w:r>
        <w:rPr/>
        <w:t xml:space="preserve">Managed and traded all the company’s exposure in the Eastern Region.  Directed three short-term traders.  Priced and managed structured transactions including full outsourcing for two New England utilities.  Managed and arbitraged over 400,000 mmbtu/d of capacity to the Northeast.  </w:t>
      </w:r>
    </w:p>
    <w:p>
      <w:pPr>
        <w:pStyle w:val="Normal"/>
        <w:autoSpaceDE w:val="false"/>
        <w:jc w:val="both"/>
        <w:rPr>
          <w:rFonts w:ascii="Arial" w:hAnsi="Arial" w:cs="Arial"/>
          <w:sz w:val="20"/>
          <w:szCs w:val="20"/>
        </w:rPr>
      </w:pPr>
      <w:r>
        <w:rPr>
          <w:rFonts w:cs="Arial" w:ascii="Arial" w:hAnsi="Arial"/>
          <w:sz w:val="20"/>
          <w:szCs w:val="20"/>
        </w:rPr>
        <w:t xml:space="preserve">Traded aggressively around assets from structured transactions and originated from the East Desk.  Particular emphasis on Tennessee, Algonquin, Texas Eastern and Transcontinental Gas Pipelines.  Originated short and long-term transactions on all Northeast pipelines with large utilities, electric generators and niche players.  Acquired and managed successful capacity </w:t>
      </w:r>
    </w:p>
    <w:p>
      <w:pPr>
        <w:pStyle w:val="Normal"/>
        <w:autoSpaceDE w:val="false"/>
        <w:jc w:val="both"/>
        <w:rPr>
          <w:rFonts w:ascii="Arial" w:hAnsi="Arial" w:cs="Arial"/>
          <w:sz w:val="20"/>
          <w:szCs w:val="20"/>
        </w:rPr>
      </w:pPr>
      <w:r>
        <w:rPr>
          <w:rFonts w:cs="Arial" w:ascii="Arial" w:hAnsi="Arial"/>
          <w:sz w:val="20"/>
          <w:szCs w:val="20"/>
        </w:rPr>
        <w:t xml:space="preserve">release.  Highly successful penetration of markets and margin targets.  </w:t>
      </w:r>
    </w:p>
    <w:p>
      <w:pPr>
        <w:pStyle w:val="Normal"/>
        <w:autoSpaceDE w:val="false"/>
        <w:rPr>
          <w:rFonts w:ascii="Arial" w:hAnsi="Arial" w:cs="Arial"/>
          <w:sz w:val="20"/>
          <w:szCs w:val="20"/>
        </w:rPr>
      </w:pPr>
      <w:r>
        <w:rPr>
          <w:rFonts w:cs="Arial" w:ascii="Arial" w:hAnsi="Arial"/>
          <w:sz w:val="20"/>
          <w:szCs w:val="20"/>
        </w:rPr>
      </w:r>
    </w:p>
    <w:p>
      <w:pPr>
        <w:pStyle w:val="Normal"/>
        <w:numPr>
          <w:ilvl w:val="1"/>
          <w:numId w:val="2"/>
        </w:numPr>
        <w:autoSpaceDE w:val="false"/>
        <w:rPr>
          <w:rFonts w:ascii="Arial" w:hAnsi="Arial" w:cs="Arial"/>
          <w:b/>
          <w:bCs/>
          <w:sz w:val="20"/>
          <w:szCs w:val="20"/>
        </w:rPr>
      </w:pPr>
      <w:r>
        <w:rPr>
          <w:rFonts w:cs="Arial" w:ascii="Arial" w:hAnsi="Arial"/>
          <w:b/>
          <w:bCs/>
          <w:sz w:val="20"/>
          <w:szCs w:val="20"/>
        </w:rPr>
        <w:t>Vice President Trading, TXU Energy Trading/Enserch Energy Trading</w:t>
      </w:r>
    </w:p>
    <w:p>
      <w:pPr>
        <w:pStyle w:val="Normal"/>
        <w:autoSpaceDE w:val="false"/>
        <w:rPr>
          <w:rFonts w:ascii="Arial" w:hAnsi="Arial" w:cs="Arial"/>
          <w:b/>
          <w:bCs/>
          <w:sz w:val="20"/>
          <w:szCs w:val="20"/>
        </w:rPr>
      </w:pPr>
      <w:r>
        <w:rPr>
          <w:rFonts w:cs="Arial" w:ascii="Arial" w:hAnsi="Arial"/>
          <w:b/>
          <w:bCs/>
          <w:sz w:val="20"/>
          <w:szCs w:val="20"/>
        </w:rPr>
      </w:r>
    </w:p>
    <w:p>
      <w:pPr>
        <w:pStyle w:val="BodyText"/>
        <w:rPr/>
      </w:pPr>
      <w:r>
        <w:rPr/>
        <w:t xml:space="preserve">Managed and traded all the company’s exposure in the Northeast.  Directed five short-term traders.  Priced and managed structured transactions in the Northeast.  Established short term and long term positions.  Managed the company’s substantial retail exposure throughout the Northeast.  Originated short and long-term transactions on all Northeast pipelines with large </w:t>
      </w:r>
    </w:p>
    <w:p>
      <w:pPr>
        <w:pStyle w:val="Normal"/>
        <w:autoSpaceDE w:val="false"/>
        <w:jc w:val="both"/>
        <w:rPr>
          <w:rFonts w:ascii="Arial" w:hAnsi="Arial" w:cs="Arial"/>
          <w:sz w:val="20"/>
          <w:szCs w:val="20"/>
        </w:rPr>
      </w:pPr>
      <w:r>
        <w:rPr>
          <w:rFonts w:cs="Arial" w:ascii="Arial" w:hAnsi="Arial"/>
          <w:sz w:val="20"/>
          <w:szCs w:val="20"/>
        </w:rPr>
        <w:t xml:space="preserve">utilities, electric generators, and niche players.  Acquired and managed successful capacity release.  </w:t>
      </w:r>
    </w:p>
    <w:p>
      <w:pPr>
        <w:pStyle w:val="Normal"/>
        <w:autoSpaceDE w:val="false"/>
        <w:rPr>
          <w:rFonts w:ascii="Arial" w:hAnsi="Arial" w:cs="Arial"/>
          <w:sz w:val="20"/>
          <w:szCs w:val="20"/>
        </w:rPr>
      </w:pPr>
      <w:r>
        <w:rPr>
          <w:rFonts w:cs="Arial" w:ascii="Arial" w:hAnsi="Arial"/>
          <w:sz w:val="20"/>
          <w:szCs w:val="20"/>
        </w:rPr>
      </w:r>
    </w:p>
    <w:p>
      <w:pPr>
        <w:pStyle w:val="Normal"/>
        <w:numPr>
          <w:ilvl w:val="1"/>
          <w:numId w:val="3"/>
        </w:numPr>
        <w:autoSpaceDE w:val="false"/>
        <w:rPr>
          <w:rFonts w:ascii="Arial" w:hAnsi="Arial" w:cs="Arial"/>
          <w:b/>
          <w:bCs/>
          <w:sz w:val="20"/>
          <w:szCs w:val="20"/>
        </w:rPr>
      </w:pPr>
      <w:r>
        <w:rPr>
          <w:rFonts w:cs="Arial" w:ascii="Arial" w:hAnsi="Arial"/>
          <w:b/>
          <w:bCs/>
          <w:sz w:val="20"/>
          <w:szCs w:val="20"/>
        </w:rPr>
        <w:t>Vice President Trading, Duke/Louis Dreyfus LLC</w:t>
        <w:br/>
      </w:r>
    </w:p>
    <w:p>
      <w:pPr>
        <w:pStyle w:val="Normal"/>
        <w:autoSpaceDE w:val="false"/>
        <w:jc w:val="both"/>
        <w:rPr>
          <w:rFonts w:ascii="Arial" w:hAnsi="Arial" w:cs="Arial"/>
          <w:sz w:val="20"/>
          <w:szCs w:val="20"/>
        </w:rPr>
      </w:pPr>
      <w:r>
        <w:rPr>
          <w:rFonts w:cs="Arial" w:ascii="Arial" w:hAnsi="Arial"/>
          <w:sz w:val="20"/>
          <w:szCs w:val="20"/>
        </w:rPr>
        <w:t xml:space="preserve">Managed and traded all the company’s exposure in the Northeast.  Directed three short-term traders.  Priced and managed short term and very long term structured transactions in Natural Gas and Power in the Northeast.  Established short term and long term arbitrages in the Northeast markets.  Originated short term and long term transactions on all Northeast pipelines </w:t>
      </w:r>
    </w:p>
    <w:p>
      <w:pPr>
        <w:pStyle w:val="Normal"/>
        <w:autoSpaceDE w:val="false"/>
        <w:jc w:val="both"/>
        <w:rPr>
          <w:rFonts w:ascii="Arial" w:hAnsi="Arial" w:cs="Arial"/>
          <w:sz w:val="20"/>
          <w:szCs w:val="20"/>
        </w:rPr>
      </w:pPr>
      <w:r>
        <w:rPr>
          <w:rFonts w:cs="Arial" w:ascii="Arial" w:hAnsi="Arial"/>
          <w:sz w:val="20"/>
          <w:szCs w:val="20"/>
        </w:rPr>
        <w:t>with large utilities, electric generators, and niche players.  Acquired and managed successful capacity release.  Trade alternative fuel markets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1991-1995   Cash Trader, Direct Gas Supply Corp.</w:t>
      </w:r>
    </w:p>
    <w:p>
      <w:pPr>
        <w:pStyle w:val="Normal"/>
        <w:autoSpaceDE w:val="false"/>
        <w:rPr>
          <w:rFonts w:ascii="Arial" w:hAnsi="Arial" w:cs="Arial"/>
          <w:sz w:val="20"/>
          <w:szCs w:val="20"/>
        </w:rPr>
      </w:pPr>
      <w:r>
        <w:rPr>
          <w:rFonts w:cs="Arial" w:ascii="Arial" w:hAnsi="Arial"/>
          <w:sz w:val="20"/>
          <w:szCs w:val="20"/>
        </w:rPr>
        <w:t xml:space="preserve">Traded the cash markets on AGT, TGP, Tetco, Transco, CNG, TCO, IGT, National </w:t>
      </w:r>
    </w:p>
    <w:p>
      <w:pPr>
        <w:pStyle w:val="Normal"/>
        <w:rPr>
          <w:rFonts w:ascii="Arial" w:hAnsi="Arial" w:cs="Arial"/>
          <w:sz w:val="20"/>
          <w:szCs w:val="20"/>
        </w:rPr>
      </w:pPr>
      <w:r>
        <w:rPr>
          <w:rFonts w:cs="Arial" w:ascii="Arial" w:hAnsi="Arial"/>
          <w:sz w:val="20"/>
          <w:szCs w:val="20"/>
        </w:rPr>
        <w:t>Fuel, Empire, and Texas Gas.  Traded alternative fuel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7"/>
      <w:numFmt w:val="decimal"/>
      <w:lvlText w:val="%1"/>
      <w:lvlJc w:val="start"/>
      <w:pPr>
        <w:tabs>
          <w:tab w:val="num" w:pos="1125"/>
        </w:tabs>
        <w:ind w:start="1125" w:hanging="1125"/>
      </w:pPr>
      <w:rPr/>
    </w:lvl>
    <w:lvl w:ilvl="1">
      <w:start w:val="1999"/>
      <w:numFmt w:val="decimal"/>
      <w:lvlText w:val="%1-%2"/>
      <w:lvlJc w:val="start"/>
      <w:pPr>
        <w:tabs>
          <w:tab w:val="num" w:pos="1125"/>
        </w:tabs>
        <w:ind w:start="1125" w:hanging="1125"/>
      </w:pPr>
      <w:rPr/>
    </w:lvl>
    <w:lvl w:ilvl="2">
      <w:start w:val="1"/>
      <w:numFmt w:val="decimal"/>
      <w:lvlText w:val="%1-%2.%3"/>
      <w:lvlJc w:val="start"/>
      <w:pPr>
        <w:tabs>
          <w:tab w:val="num" w:pos="1125"/>
        </w:tabs>
        <w:ind w:start="1125" w:hanging="1125"/>
      </w:pPr>
      <w:rPr/>
    </w:lvl>
    <w:lvl w:ilvl="3">
      <w:start w:val="1"/>
      <w:numFmt w:val="decimal"/>
      <w:lvlText w:val="%1-%2.%3.%4"/>
      <w:lvlJc w:val="start"/>
      <w:pPr>
        <w:tabs>
          <w:tab w:val="num" w:pos="1125"/>
        </w:tabs>
        <w:ind w:start="1125" w:hanging="1125"/>
      </w:pPr>
      <w:rPr/>
    </w:lvl>
    <w:lvl w:ilvl="4">
      <w:start w:val="1"/>
      <w:numFmt w:val="decimal"/>
      <w:lvlText w:val="%1-%2.%3.%4.%5"/>
      <w:lvlJc w:val="start"/>
      <w:pPr>
        <w:tabs>
          <w:tab w:val="num" w:pos="1125"/>
        </w:tabs>
        <w:ind w:start="1125" w:hanging="1125"/>
      </w:pPr>
      <w:rPr/>
    </w:lvl>
    <w:lvl w:ilvl="5">
      <w:start w:val="1"/>
      <w:numFmt w:val="decimal"/>
      <w:lvlText w:val="%1-%2.%3.%4.%5.%6"/>
      <w:lvlJc w:val="start"/>
      <w:pPr>
        <w:tabs>
          <w:tab w:val="num" w:pos="1125"/>
        </w:tabs>
        <w:ind w:start="1125" w:hanging="1125"/>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995"/>
      <w:numFmt w:val="decimal"/>
      <w:lvlText w:val="%1"/>
      <w:lvlJc w:val="start"/>
      <w:pPr>
        <w:tabs>
          <w:tab w:val="num" w:pos="1125"/>
        </w:tabs>
        <w:ind w:start="1125" w:hanging="1125"/>
      </w:pPr>
      <w:rPr/>
    </w:lvl>
    <w:lvl w:ilvl="1">
      <w:start w:val="1997"/>
      <w:numFmt w:val="decimal"/>
      <w:lvlText w:val="%1-%2"/>
      <w:lvlJc w:val="start"/>
      <w:pPr>
        <w:tabs>
          <w:tab w:val="num" w:pos="1125"/>
        </w:tabs>
        <w:ind w:start="1125" w:hanging="1125"/>
      </w:pPr>
      <w:rPr/>
    </w:lvl>
    <w:lvl w:ilvl="2">
      <w:start w:val="1"/>
      <w:numFmt w:val="decimal"/>
      <w:lvlText w:val="%1-%2.%3"/>
      <w:lvlJc w:val="start"/>
      <w:pPr>
        <w:tabs>
          <w:tab w:val="num" w:pos="1125"/>
        </w:tabs>
        <w:ind w:start="1125" w:hanging="1125"/>
      </w:pPr>
      <w:rPr/>
    </w:lvl>
    <w:lvl w:ilvl="3">
      <w:start w:val="1"/>
      <w:numFmt w:val="decimal"/>
      <w:lvlText w:val="%1-%2.%3.%4"/>
      <w:lvlJc w:val="start"/>
      <w:pPr>
        <w:tabs>
          <w:tab w:val="num" w:pos="1125"/>
        </w:tabs>
        <w:ind w:start="1125" w:hanging="1125"/>
      </w:pPr>
      <w:rPr/>
    </w:lvl>
    <w:lvl w:ilvl="4">
      <w:start w:val="1"/>
      <w:numFmt w:val="decimal"/>
      <w:lvlText w:val="%1-%2.%3.%4.%5"/>
      <w:lvlJc w:val="start"/>
      <w:pPr>
        <w:tabs>
          <w:tab w:val="num" w:pos="1125"/>
        </w:tabs>
        <w:ind w:start="1125" w:hanging="1125"/>
      </w:pPr>
      <w:rPr/>
    </w:lvl>
    <w:lvl w:ilvl="5">
      <w:start w:val="1"/>
      <w:numFmt w:val="decimal"/>
      <w:lvlText w:val="%1-%2.%3.%4.%5.%6"/>
      <w:lvlJc w:val="start"/>
      <w:pPr>
        <w:tabs>
          <w:tab w:val="num" w:pos="1125"/>
        </w:tabs>
        <w:ind w:start="1125" w:hanging="1125"/>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999"/>
      <w:numFmt w:val="decimal"/>
      <w:lvlText w:val="%1"/>
      <w:lvlJc w:val="start"/>
      <w:pPr>
        <w:tabs>
          <w:tab w:val="num" w:pos="1125"/>
        </w:tabs>
        <w:ind w:start="1125" w:hanging="1125"/>
      </w:pPr>
      <w:rPr/>
    </w:lvl>
    <w:lvl w:ilvl="1">
      <w:start w:val="2000"/>
      <w:numFmt w:val="decimal"/>
      <w:lvlText w:val="%1-%2"/>
      <w:lvlJc w:val="start"/>
      <w:pPr>
        <w:tabs>
          <w:tab w:val="num" w:pos="1125"/>
        </w:tabs>
        <w:ind w:start="1125" w:hanging="1125"/>
      </w:pPr>
      <w:rPr/>
    </w:lvl>
    <w:lvl w:ilvl="2">
      <w:start w:val="1"/>
      <w:numFmt w:val="decimal"/>
      <w:lvlText w:val="%1-%2.%3"/>
      <w:lvlJc w:val="start"/>
      <w:pPr>
        <w:tabs>
          <w:tab w:val="num" w:pos="1125"/>
        </w:tabs>
        <w:ind w:start="1125" w:hanging="1125"/>
      </w:pPr>
      <w:rPr/>
    </w:lvl>
    <w:lvl w:ilvl="3">
      <w:start w:val="1"/>
      <w:numFmt w:val="decimal"/>
      <w:lvlText w:val="%1-%2.%3.%4"/>
      <w:lvlJc w:val="start"/>
      <w:pPr>
        <w:tabs>
          <w:tab w:val="num" w:pos="1125"/>
        </w:tabs>
        <w:ind w:start="1125" w:hanging="1125"/>
      </w:pPr>
      <w:rPr/>
    </w:lvl>
    <w:lvl w:ilvl="4">
      <w:start w:val="1"/>
      <w:numFmt w:val="decimal"/>
      <w:lvlText w:val="%1-%2.%3.%4.%5"/>
      <w:lvlJc w:val="start"/>
      <w:pPr>
        <w:tabs>
          <w:tab w:val="num" w:pos="1125"/>
        </w:tabs>
        <w:ind w:start="1125" w:hanging="1125"/>
      </w:pPr>
      <w:rPr/>
    </w:lvl>
    <w:lvl w:ilvl="5">
      <w:start w:val="1"/>
      <w:numFmt w:val="decimal"/>
      <w:lvlText w:val="%1-%2.%3.%4.%5.%6"/>
      <w:lvlJc w:val="start"/>
      <w:pPr>
        <w:tabs>
          <w:tab w:val="num" w:pos="1125"/>
        </w:tabs>
        <w:ind w:start="1125" w:hanging="1125"/>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autoSpaceDE w:val="false"/>
      <w:jc w:val="center"/>
    </w:pPr>
    <w:rPr>
      <w:rFonts w:ascii="Arial" w:hAnsi="Arial" w:cs="Arial"/>
      <w:b/>
      <w:bCs/>
      <w:szCs w:val="20"/>
    </w:rPr>
  </w:style>
  <w:style w:type="paragraph" w:styleId="BodyText">
    <w:name w:val="Body Text"/>
    <w:basedOn w:val="Normal"/>
    <w:pPr>
      <w:autoSpaceDE w:val="false"/>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2000-09-27T18:47:00Z</dcterms:created>
  <dc:creator>Thomas P. Cullen</dc:creator>
  <dc:description/>
  <dc:language>en-CA</dc:language>
  <cp:lastModifiedBy>Thomas P. Cullen</cp:lastModifiedBy>
  <cp:lastPrinted>2000-08-31T16:35:00Z</cp:lastPrinted>
  <dcterms:modified xsi:type="dcterms:W3CDTF">2000-09-27T18:47:00Z</dcterms:modified>
  <cp:revision>2</cp:revision>
  <dc:subject/>
  <dc:title>Thomas J</dc:title>
</cp:coreProperties>
</file>