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rPr>
          <w:b/>
          <w:sz w:val="48"/>
        </w:rPr>
      </w:pPr>
      <w:r>
        <w:rPr>
          <w:b/>
          <w:sz w:val="48"/>
        </w:rPr>
        <w:t>MANAGEMENT</w:t>
      </w:r>
    </w:p>
    <w:p>
      <w:pPr>
        <w:pStyle w:val="Header"/>
        <w:rPr/>
      </w:pPr>
      <w:r>
        <w:rPr>
          <w:b/>
          <w:sz w:val="48"/>
        </w:rPr>
        <w:t>RECRUITERS</w:t>
      </w:r>
      <w:r>
        <w:rPr>
          <w:sz w:val="28"/>
        </w:rPr>
        <w:t>® OF PORTLAND, INC.</w:t>
      </w:r>
    </w:p>
    <w:p>
      <w:pPr>
        <w:pStyle w:val="Header"/>
        <w:rPr>
          <w:sz w:val="26"/>
        </w:rPr>
      </w:pPr>
      <w:r>
        <w:rPr/>
        <w:t xml:space="preserve">Lloyd Center   </w:t>
      </w:r>
      <w:r>
        <w:rPr>
          <w:rFonts w:eastAsia="Symbol" w:cs="Symbol" w:ascii="Symbol" w:hAnsi="Symbol"/>
        </w:rPr>
        <w:sym w:font="Symbol" w:char="f0b7"/>
      </w:r>
      <w:r>
        <w:rPr/>
        <w:t xml:space="preserve">   2020   </w:t>
      </w:r>
      <w:r>
        <w:rPr>
          <w:rFonts w:eastAsia="Symbol" w:cs="Symbol" w:ascii="Symbol" w:hAnsi="Symbol"/>
        </w:rPr>
        <w:sym w:font="Symbol" w:char="f0b7"/>
      </w:r>
      <w:r>
        <w:rPr/>
        <w:t xml:space="preserve">   Portland, OR 97232   </w:t>
      </w:r>
      <w:r>
        <w:rPr>
          <w:rFonts w:eastAsia="Symbol" w:cs="Symbol" w:ascii="Symbol" w:hAnsi="Symbol"/>
        </w:rPr>
        <w:sym w:font="Symbol" w:char="f0b7"/>
      </w:r>
      <w:r>
        <w:rPr/>
        <w:t xml:space="preserve">   (503) 287-8701</w:t>
      </w:r>
    </w:p>
    <w:p>
      <w:pPr>
        <w:pStyle w:val="Normal"/>
        <w:rPr>
          <w:sz w:val="26"/>
        </w:rPr>
      </w:pPr>
      <w:r>
        <w:rPr>
          <w:sz w:val="26"/>
        </w:rPr>
      </w:r>
    </w:p>
    <w:p>
      <w:pPr>
        <w:pStyle w:val="Normal"/>
        <w:rPr/>
      </w:pPr>
      <w:r>
        <w:rPr/>
      </w:r>
    </w:p>
    <w:p>
      <w:pPr>
        <w:pStyle w:val="Normal"/>
        <w:rPr>
          <w:i/>
          <w:i/>
          <w:sz w:val="24"/>
        </w:rPr>
      </w:pPr>
      <w:r>
        <w:rPr>
          <w:i/>
          <w:sz w:val="24"/>
        </w:rPr>
        <w:t>Firm:</w:t>
        <w:tab/>
        <w:t>Enron North America</w:t>
        <w:tab/>
        <w:tab/>
        <w:tab/>
        <w:tab/>
        <w:tab/>
        <w:tab/>
      </w:r>
      <w:r>
        <w:rPr>
          <w:i/>
          <w:sz w:val="24"/>
        </w:rPr>
        <w:fldChar w:fldCharType="begin"/>
      </w:r>
      <w:r>
        <w:rPr>
          <w:sz w:val="24"/>
          <w:i/>
        </w:rPr>
        <w:instrText xml:space="preserve"> DATE \@"MMMM\ d', 'yyyy" </w:instrText>
      </w:r>
      <w:r>
        <w:rPr>
          <w:sz w:val="24"/>
          <w:i/>
        </w:rPr>
        <w:fldChar w:fldCharType="separate"/>
      </w:r>
      <w:r>
        <w:rPr>
          <w:sz w:val="24"/>
          <w:i/>
        </w:rPr>
        <w:t>September 28, 2025</w:t>
      </w:r>
      <w:r>
        <w:rPr>
          <w:sz w:val="24"/>
          <w:i/>
        </w:rPr>
        <w:fldChar w:fldCharType="end"/>
      </w:r>
    </w:p>
    <w:p>
      <w:pPr>
        <w:pStyle w:val="Normal"/>
        <w:rPr>
          <w:b/>
          <w:sz w:val="24"/>
        </w:rPr>
      </w:pPr>
      <w:r>
        <w:rPr>
          <w:i/>
          <w:sz w:val="24"/>
        </w:rPr>
        <w:t>Hiring Authority:</w:t>
        <w:tab/>
        <w:t>Vince Kaminski</w:t>
        <w:tab/>
        <w:tab/>
        <w:tab/>
        <w:tab/>
        <w:t>Candidate:</w:t>
        <w:tab/>
        <w:t>James Valverde</w:t>
      </w:r>
    </w:p>
    <w:p>
      <w:pPr>
        <w:pStyle w:val="Normal"/>
        <w:rPr>
          <w:b/>
          <w:sz w:val="24"/>
        </w:rPr>
      </w:pPr>
      <w:r>
        <w:rPr>
          <w:b/>
          <w:sz w:val="24"/>
        </w:rPr>
      </w:r>
    </w:p>
    <w:p>
      <w:pPr>
        <w:pStyle w:val="Heading1"/>
        <w:ind w:hanging="0" w:start="0"/>
        <w:rPr/>
      </w:pPr>
      <w:r>
        <w:rPr/>
        <w:t>FEE AGREEMENT</w:t>
      </w:r>
    </w:p>
    <w:p>
      <w:pPr>
        <w:pStyle w:val="Normal"/>
        <w:rPr/>
      </w:pPr>
      <w:r>
        <w:rPr/>
      </w:r>
    </w:p>
    <w:p>
      <w:pPr>
        <w:pStyle w:val="Normal"/>
        <w:rPr/>
      </w:pPr>
      <w:r>
        <w:rPr/>
        <w:t>This confirms our agreement.  If these terms do not reflect your understanding of our agreement, please call us immediately.</w:t>
      </w:r>
    </w:p>
    <w:p>
      <w:pPr>
        <w:pStyle w:val="Normal"/>
        <w:rPr/>
      </w:pPr>
      <w:r>
        <w:rPr/>
      </w:r>
    </w:p>
    <w:p>
      <w:pPr>
        <w:pStyle w:val="Normal"/>
        <w:rPr/>
      </w:pPr>
      <w:r>
        <w:rPr/>
        <w:t xml:space="preserve"> </w:t>
      </w:r>
      <w:r>
        <w:rPr/>
        <w:t>Our service fees are on a contingency basis and are payable only if a candidate enters into a service relationship with you or your affiliate within one year after our most recent communication relating to the candidate.</w:t>
      </w:r>
    </w:p>
    <w:p>
      <w:pPr>
        <w:pStyle w:val="Normal"/>
        <w:rPr/>
      </w:pPr>
      <w:r>
        <w:rPr/>
      </w:r>
    </w:p>
    <w:p>
      <w:pPr>
        <w:pStyle w:val="Normal"/>
        <w:rPr/>
      </w:pPr>
      <w:r>
        <w:rPr/>
        <w:t>Our service fee is equal to thirty percent (30%) of the candidate's first year's compensation.</w:t>
      </w:r>
    </w:p>
    <w:p>
      <w:pPr>
        <w:pStyle w:val="Normal"/>
        <w:rPr/>
      </w:pPr>
      <w:r>
        <w:rPr/>
      </w:r>
    </w:p>
    <w:p>
      <w:pPr>
        <w:pStyle w:val="Normal"/>
        <w:rPr/>
      </w:pPr>
      <w:r>
        <w:rPr/>
        <w:t>If the service relationship between you and the candidate is terminated for any reason before the 30th calendar day after its start, we will replace the candidate, provided that you notify us in writing within five business days after the termination.  This guarantee is not applicable if the service relationship is terminated, because the position is eliminated or because you have insufficient work for the candidate.  This guarantee is to allow you to satisfy yourself that the candidate has the requisite experience and qualifications, and that information provided by the candidate and other sources, directly or through us, is accurate.</w:t>
      </w:r>
    </w:p>
    <w:p>
      <w:pPr>
        <w:pStyle w:val="Normal"/>
        <w:rPr/>
      </w:pPr>
      <w:r>
        <w:rPr/>
      </w:r>
    </w:p>
    <w:p>
      <w:pPr>
        <w:pStyle w:val="Normal"/>
        <w:rPr/>
      </w:pPr>
      <w:r>
        <w:rPr/>
        <w:t>Our service fee will be invoiced when you and the candidate agree to enter into the service relation-ship.  Our terms are: NET DUE UPON RECEIPT OF THE INVOICE.  Our guarantee is valid only if we receive payment of our service fee, in full, within ten (10) days after the date of the invoice.</w:t>
      </w:r>
    </w:p>
    <w:p>
      <w:pPr>
        <w:pStyle w:val="Normal"/>
        <w:rPr/>
      </w:pPr>
      <w:r>
        <w:rPr/>
      </w:r>
    </w:p>
    <w:p>
      <w:pPr>
        <w:pStyle w:val="Normal"/>
        <w:rPr/>
      </w:pPr>
      <w:r>
        <w:rPr/>
        <w:t>Your acceptance of referrals from us shall be conclusive evidence of your acceptance of our schedule of charges, terms and conditions, unless we have signed a written modification.  If collection activities are necessary, you agree to pay all expenses thereof, including reasonable attorney's fees.  You consent to the jurisdiction of the courts of the State of Oregon and agree that its laws shall govern our relationship.</w:t>
      </w:r>
    </w:p>
    <w:p>
      <w:pPr>
        <w:pStyle w:val="Normal"/>
        <w:rPr/>
      </w:pPr>
      <w:r>
        <w:rPr/>
      </w:r>
    </w:p>
    <w:p>
      <w:pPr>
        <w:pStyle w:val="Normal"/>
        <w:rPr/>
      </w:pPr>
      <w:r>
        <w:rPr/>
        <w:t>Candidates are referred to you in confidence.  Should you refer or identify such a candidate to another company which enters into a service relationship with the Candidate, both companies shall be responsible for the payment of the service fee.</w:t>
      </w:r>
    </w:p>
    <w:p>
      <w:pPr>
        <w:pStyle w:val="Normal"/>
        <w:rPr/>
      </w:pPr>
      <w:r>
        <w:rPr/>
      </w:r>
    </w:p>
    <w:p>
      <w:pPr>
        <w:pStyle w:val="Normal"/>
        <w:rPr/>
      </w:pPr>
      <w:r>
        <w:rPr/>
        <w:t>The following definitions are applicable to this Agreement: "Candidate" means a person referred to you by us, directly or indirectly.  "Refer" means the disclosure by us of the identity of a candidate by any means, orally or in writing.  "Service relationship" means your engagement of the services of the candidate in any capacity, including as an employee, independent contractor, consultant, or other representative.  "First year's compensation" means a reasonable estimate of all compensation expected to be earned by the candidate during the first year of the service relationship, including wages, salary, draw, fees, commissions, bonuses, and incentives.  The estimate is to be determined as of the time when the service relationship is to begin, and shall not be increased or decreased thereafter.</w:t>
      </w:r>
    </w:p>
    <w:p>
      <w:pPr>
        <w:pStyle w:val="Normal"/>
        <w:rPr/>
      </w:pPr>
      <w:r>
        <w:rPr/>
      </w:r>
    </w:p>
    <w:p>
      <w:pPr>
        <w:pStyle w:val="Normal"/>
        <w:rPr/>
      </w:pPr>
      <w:r>
        <w:rPr/>
        <w:t>We do not discriminate in the acceptance or referral of candidates on the basis of race, color, religion, sex, age, national origin, marital status, disability, or other protected characteristic.</w:t>
      </w:r>
    </w:p>
    <w:p>
      <w:pPr>
        <w:pStyle w:val="Normal"/>
        <w:rPr/>
      </w:pPr>
      <w:r>
        <w:rPr/>
      </w:r>
    </w:p>
    <w:p>
      <w:pPr>
        <w:pStyle w:val="Normal"/>
        <w:rPr/>
      </w:pPr>
      <w:r>
        <w:rPr/>
      </w:r>
    </w:p>
    <w:p>
      <w:pPr>
        <w:pStyle w:val="Normal"/>
        <w:rPr/>
      </w:pPr>
      <w:r>
        <w:rPr/>
        <w:t>Sincerely,</w:t>
      </w:r>
    </w:p>
    <w:p>
      <w:pPr>
        <w:pStyle w:val="Normal"/>
        <w:rPr/>
      </w:pPr>
      <w:r>
        <w:rPr/>
      </w:r>
    </w:p>
    <w:p>
      <w:pPr>
        <w:pStyle w:val="Normal"/>
        <w:rPr/>
      </w:pPr>
      <w:r>
        <w:rPr/>
      </w:r>
    </w:p>
    <w:p>
      <w:pPr>
        <w:pStyle w:val="Normal"/>
        <w:rPr/>
      </w:pPr>
      <w:r>
        <w:rPr/>
        <w:t>Johan C. Dahl</w:t>
      </w:r>
    </w:p>
    <w:p>
      <w:pPr>
        <w:pStyle w:val="Normal"/>
        <w:rPr/>
      </w:pPr>
      <w:r>
        <w:rPr/>
        <w:t>Management Recruiters of Portland, Inc.</w:t>
      </w:r>
    </w:p>
    <w:p>
      <w:pPr>
        <w:pStyle w:val="Header"/>
        <w:tabs>
          <w:tab w:val="clear" w:pos="4320"/>
          <w:tab w:val="clear" w:pos="8640"/>
        </w:tabs>
        <w:rPr/>
      </w:pPr>
      <w:r>
        <w:rPr/>
      </w:r>
    </w:p>
    <w:sectPr>
      <w:type w:val="continuous"/>
      <w:pgSz w:w="12240" w:h="15840"/>
      <w:pgMar w:left="720" w:right="720" w:gutter="0" w:header="0" w:top="720" w:footer="0" w:bottom="720"/>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1999-10-07T19:48:00Z</dcterms:created>
  <dc:creator>Johan</dc:creator>
  <dc:description/>
  <dc:language>en-CA</dc:language>
  <cp:lastModifiedBy>Larry Engelgau</cp:lastModifiedBy>
  <dcterms:modified xsi:type="dcterms:W3CDTF">2001-01-09T15:58:00Z</dcterms:modified>
  <cp:revision>17</cp:revision>
  <dc:subject/>
  <dc:title>MANAGEMENT</dc:title>
</cp:coreProperties>
</file>