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440" w:leader="none"/>
        </w:tabs>
        <w:spacing w:before="240" w:after="0"/>
        <w:rPr/>
      </w:pPr>
      <w:r>
        <w:rPr>
          <w:b/>
          <w:sz w:val="28"/>
        </w:rPr>
        <w:t>MEMBER COMPANY:</w:t>
      </w:r>
      <w:r>
        <w:rPr>
          <w:b/>
          <w:sz w:val="28"/>
          <w:u w:val="single"/>
        </w:rPr>
        <w:tab/>
        <w:tab/>
        <w:tab/>
        <w:tab/>
        <w:tab/>
        <w:tab/>
        <w:tab/>
      </w:r>
    </w:p>
    <w:p>
      <w:pPr>
        <w:pStyle w:val="Normal"/>
        <w:widowControl w:val="false"/>
        <w:tabs>
          <w:tab w:val="clear" w:pos="720"/>
          <w:tab w:val="left" w:pos="1440" w:leader="none"/>
        </w:tabs>
        <w:spacing w:before="240" w:after="0"/>
        <w:rPr>
          <w:b/>
          <w:sz w:val="28"/>
        </w:rPr>
      </w:pPr>
      <w:r>
        <w:rPr>
          <w:b/>
          <w:sz w:val="28"/>
        </w:rPr>
        <w:t>REPRESENTATIVE:</w:t>
      </w:r>
      <w:r>
        <w:rPr>
          <w:b/>
          <w:sz w:val="28"/>
          <w:u w:val="single"/>
        </w:rPr>
        <w:tab/>
        <w:tab/>
        <w:tab/>
        <w:tab/>
        <w:tab/>
        <w:tab/>
        <w:tab/>
        <w:tab/>
      </w:r>
    </w:p>
    <w:p>
      <w:pPr>
        <w:pStyle w:val="Header"/>
        <w:widowControl w:val="false"/>
        <w:spacing w:lineRule="atLeast" w:line="480"/>
        <w:ind w:end="-80"/>
        <w:rPr>
          <w:b/>
          <w:sz w:val="14"/>
        </w:rPr>
      </w:pPr>
      <w:r>
        <w:rPr>
          <w:b/>
          <w:sz w:val="14"/>
        </w:rPr>
      </w:r>
    </w:p>
    <w:p>
      <w:pPr>
        <w:pStyle w:val="Normal"/>
        <w:widowControl w:val="false"/>
        <w:tabs>
          <w:tab w:val="clear" w:pos="720"/>
          <w:tab w:val="left" w:pos="1440" w:leader="none"/>
        </w:tabs>
        <w:spacing w:before="240" w:after="0"/>
        <w:jc w:val="both"/>
        <w:rPr>
          <w:b/>
        </w:rPr>
      </w:pPr>
      <w:r>
        <w:rPr>
          <w:b/>
        </w:rPr>
        <w:t>With reference to the proposed resolution, which was accepted as an Issue at the March 6, 2001 Tolls Task Force meeting, discussed at the April 6, 2001 and April 18, 2001 Tolls Task Force meetings, as well as provided to TTF members by email and posted on the TTF Online website, the above mentioned Member Company votes as follows:</w:t>
      </w:r>
    </w:p>
    <w:p>
      <w:pPr>
        <w:pStyle w:val="Normal"/>
        <w:widowControl w:val="false"/>
        <w:tabs>
          <w:tab w:val="clear" w:pos="720"/>
          <w:tab w:val="left" w:pos="1440" w:leader="none"/>
        </w:tabs>
        <w:spacing w:before="240" w:after="0"/>
        <w:rPr>
          <w:b/>
          <w:sz w:val="28"/>
        </w:rPr>
      </w:pPr>
      <w:r>
        <w:rPr>
          <w:b/>
          <w:sz w:val="28"/>
        </w:rPr>
        <w:tab/>
        <w:tab/>
        <w:tab/>
        <w:tab/>
        <w:tab/>
      </w:r>
      <w:r>
        <w:rPr>
          <w:b/>
          <w:sz w:val="28"/>
          <w:u w:val="single"/>
        </w:rPr>
        <w:tab/>
        <w:tab/>
      </w:r>
    </w:p>
    <w:p>
      <w:pPr>
        <w:pStyle w:val="Normal"/>
        <w:widowControl w:val="false"/>
        <w:tabs>
          <w:tab w:val="clear" w:pos="720"/>
          <w:tab w:val="left" w:pos="1440" w:leader="none"/>
        </w:tabs>
        <w:spacing w:before="240" w:after="0"/>
        <w:ind w:start="720" w:end="0"/>
        <w:rPr>
          <w:b/>
          <w:sz w:val="28"/>
        </w:rPr>
      </w:pPr>
      <w:r>
        <w:rPr>
          <w:b/>
          <w:sz w:val="28"/>
        </w:rPr>
        <w:t>IN FAVOUR</w:t>
        <w:tab/>
        <w:tab/>
        <w:tab/>
      </w:r>
      <w:r>
        <w:rPr>
          <w:b/>
          <w:sz w:val="28"/>
          <w:u w:val="single"/>
        </w:rPr>
        <w:tab/>
        <w:tab/>
      </w:r>
    </w:p>
    <w:p>
      <w:pPr>
        <w:pStyle w:val="Normal"/>
        <w:widowControl w:val="false"/>
        <w:tabs>
          <w:tab w:val="clear" w:pos="720"/>
          <w:tab w:val="left" w:pos="1440" w:leader="none"/>
        </w:tabs>
        <w:spacing w:before="240" w:after="0"/>
        <w:ind w:start="720" w:end="0"/>
        <w:rPr>
          <w:b/>
          <w:sz w:val="28"/>
          <w:u w:val="single"/>
        </w:rPr>
      </w:pPr>
      <w:r>
        <w:rPr>
          <w:b/>
          <w:sz w:val="28"/>
        </w:rPr>
        <w:t xml:space="preserve">OPPOSED </w:t>
      </w:r>
      <w:r>
        <w:rPr>
          <w:b/>
          <w:sz w:val="20"/>
        </w:rPr>
        <w:t>(Will Not Litigate)</w:t>
      </w:r>
      <w:r>
        <w:rPr>
          <w:b/>
          <w:sz w:val="28"/>
        </w:rPr>
        <w:tab/>
      </w:r>
      <w:r>
        <w:rPr>
          <w:b/>
          <w:sz w:val="28"/>
          <w:u w:val="single"/>
        </w:rPr>
        <w:tab/>
        <w:tab/>
      </w:r>
      <w:r>
        <w:rPr>
          <w:b/>
          <w:sz w:val="28"/>
        </w:rPr>
        <w:tab/>
      </w:r>
    </w:p>
    <w:p>
      <w:pPr>
        <w:pStyle w:val="Normal"/>
        <w:widowControl w:val="false"/>
        <w:tabs>
          <w:tab w:val="clear" w:pos="720"/>
          <w:tab w:val="left" w:pos="1440" w:leader="none"/>
        </w:tabs>
        <w:spacing w:before="240" w:after="0"/>
        <w:ind w:start="720" w:end="0"/>
        <w:rPr>
          <w:b/>
          <w:sz w:val="28"/>
          <w:u w:val="single"/>
        </w:rPr>
      </w:pPr>
      <w:r>
        <w:rPr>
          <w:b/>
          <w:sz w:val="28"/>
        </w:rPr>
        <w:t xml:space="preserve">OPPOSED </w:t>
      </w:r>
      <w:r>
        <w:rPr>
          <w:b/>
          <w:sz w:val="20"/>
        </w:rPr>
        <w:t>(Will Litigate)</w:t>
      </w:r>
      <w:r>
        <w:rPr>
          <w:b/>
          <w:sz w:val="28"/>
        </w:rPr>
        <w:tab/>
        <w:tab/>
      </w:r>
      <w:r>
        <w:rPr>
          <w:b/>
          <w:sz w:val="28"/>
          <w:u w:val="single"/>
        </w:rPr>
        <w:tab/>
        <w:tab/>
      </w:r>
      <w:r>
        <w:rPr>
          <w:b/>
          <w:sz w:val="28"/>
        </w:rPr>
        <w:tab/>
      </w:r>
    </w:p>
    <w:p>
      <w:pPr>
        <w:pStyle w:val="Normal"/>
        <w:widowControl w:val="false"/>
        <w:tabs>
          <w:tab w:val="clear" w:pos="720"/>
          <w:tab w:val="left" w:pos="1440" w:leader="none"/>
        </w:tabs>
        <w:spacing w:before="240" w:after="0"/>
        <w:ind w:start="720" w:end="0"/>
        <w:rPr>
          <w:b/>
          <w:sz w:val="28"/>
        </w:rPr>
      </w:pPr>
      <w:r>
        <w:rPr>
          <w:b/>
          <w:sz w:val="28"/>
        </w:rPr>
        <w:t>ABSTAIN</w:t>
        <w:tab/>
        <w:tab/>
        <w:tab/>
        <w:tab/>
      </w:r>
      <w:r>
        <w:rPr>
          <w:b/>
          <w:sz w:val="28"/>
          <w:u w:val="single"/>
        </w:rPr>
        <w:tab/>
        <w:tab/>
      </w:r>
    </w:p>
    <w:p>
      <w:pPr>
        <w:pStyle w:val="Normal"/>
        <w:widowControl w:val="false"/>
        <w:tabs>
          <w:tab w:val="clear" w:pos="720"/>
          <w:tab w:val="left" w:pos="1440" w:leader="none"/>
        </w:tabs>
        <w:spacing w:before="240" w:after="0"/>
        <w:ind w:start="720" w:end="0"/>
        <w:rPr>
          <w:b/>
          <w:sz w:val="28"/>
        </w:rPr>
      </w:pPr>
      <w:r>
        <w:rPr>
          <w:b/>
          <w:sz w:val="28"/>
        </w:rPr>
      </w:r>
    </w:p>
    <w:p>
      <w:pPr>
        <w:pStyle w:val="Normal"/>
        <w:widowControl w:val="false"/>
        <w:tabs>
          <w:tab w:val="clear" w:pos="720"/>
          <w:tab w:val="left" w:pos="1440" w:leader="none"/>
        </w:tabs>
        <w:spacing w:before="240" w:after="0"/>
        <w:rPr>
          <w:b/>
          <w:sz w:val="28"/>
        </w:rPr>
      </w:pPr>
      <w:r>
        <w:rPr>
          <w:b/>
          <w:sz w:val="28"/>
        </w:rPr>
        <w:t>REMINDER:</w:t>
      </w:r>
    </w:p>
    <w:p>
      <w:pPr>
        <w:pStyle w:val="Normal"/>
        <w:widowControl w:val="false"/>
        <w:tabs>
          <w:tab w:val="clear" w:pos="720"/>
          <w:tab w:val="left" w:pos="1440" w:leader="none"/>
        </w:tabs>
        <w:spacing w:before="240" w:after="0"/>
        <w:jc w:val="both"/>
        <w:rPr>
          <w:b/>
        </w:rPr>
      </w:pPr>
      <w:r>
        <w:rPr>
          <w:b/>
        </w:rPr>
        <w:t>THIS ELECTRONIC/FAX VOTE SHOULD BE RECEIVED BY TRANSCANADA NO LATER THAN 5:00 PM MOUNTAIN TIME (Calgary), TUESDAY, APRIL 17, 2001.</w:t>
      </w:r>
    </w:p>
    <w:p>
      <w:pPr>
        <w:pStyle w:val="Normal"/>
        <w:widowControl w:val="false"/>
        <w:tabs>
          <w:tab w:val="clear" w:pos="720"/>
          <w:tab w:val="left" w:pos="1440" w:leader="none"/>
        </w:tabs>
        <w:spacing w:before="240" w:after="0"/>
        <w:jc w:val="both"/>
        <w:rPr>
          <w:b/>
        </w:rPr>
      </w:pPr>
      <w:r>
        <w:rPr>
          <w:b/>
        </w:rPr>
        <w:t>TO THE EXTENT THAT WE DO NOT RECEIVE YOUR VOTE BY THE ABOVE DEADLINE, AND IT IS NOT REGISTERED IN PERSON OR BY TELEPHONE AT THE MEETING ON WEDNESDAY APRIL 19, 2001 WE WILL ASSUME THAT YOU HAVE ABSTAINED FROM VOTING.</w:t>
      </w:r>
    </w:p>
    <w:p>
      <w:pPr>
        <w:pStyle w:val="Normal"/>
        <w:widowControl w:val="false"/>
        <w:rPr>
          <w:b/>
        </w:rPr>
      </w:pPr>
      <w:r>
        <w:rPr>
          <w:b/>
        </w:rPr>
      </w:r>
    </w:p>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C">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720"/>
      <w:rPr/>
    </w:pPr>
    <w:r>
      <w:rPr>
        <w:b/>
        <w:sz w:val="28"/>
      </w:rPr>
      <w:t xml:space="preserve">E-Mail or Fax this form to </w:t>
    </w:r>
    <w:hyperlink r:id="rId1">
      <w:r>
        <w:rPr>
          <w:rStyle w:val="Hyperlink"/>
        </w:rPr>
        <w:t>marg_seeger@transcanada.com</w:t>
      </w:r>
    </w:hyperlink>
    <w:r>
      <w:rPr>
        <w:b/>
        <w:sz w:val="28"/>
      </w:rPr>
      <w:t xml:space="preserve">  (403) 920.2383 </w:t>
    </w:r>
  </w:p>
  <w:p>
    <w:pPr>
      <w:pStyle w:val="Footer"/>
      <w:spacing w:before="240" w:after="0"/>
      <w:ind w:end="-720"/>
      <w:rPr>
        <w:b/>
        <w:sz w:val="28"/>
      </w:rPr>
    </w:pPr>
    <w:r>
      <w:rPr>
        <w:b/>
        <w:sz w:val="28"/>
      </w:rPr>
      <w:t>ATTENTION: Marg Seeger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ind w:end="-720"/>
      <w:rPr/>
    </w:pPr>
    <w:r>
      <w:drawing>
        <wp:anchor behindDoc="1" distT="0" distB="0" distL="114935" distR="114935" simplePos="0" locked="0" layoutInCell="1" allowOverlap="1" relativeHeight="2">
          <wp:simplePos x="0" y="0"/>
          <wp:positionH relativeFrom="column">
            <wp:posOffset>0</wp:posOffset>
          </wp:positionH>
          <wp:positionV relativeFrom="paragraph">
            <wp:posOffset>635</wp:posOffset>
          </wp:positionV>
          <wp:extent cx="1645920" cy="8610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42" r="-22" b="-42"/>
                  <a:stretch>
                    <a:fillRect/>
                  </a:stretch>
                </pic:blipFill>
                <pic:spPr bwMode="auto">
                  <a:xfrm>
                    <a:off x="0" y="0"/>
                    <a:ext cx="1645920" cy="861060"/>
                  </a:xfrm>
                  <a:prstGeom prst="rect">
                    <a:avLst/>
                  </a:prstGeom>
                  <a:noFill/>
                </pic:spPr>
              </pic:pic>
            </a:graphicData>
          </a:graphic>
        </wp:anchor>
      </w:drawing>
    </w:r>
    <w:r>
      <w:rPr>
        <w:rFonts w:cs="TC" w:ascii="TC" w:hAnsi="TC"/>
        <w:sz w:val="72"/>
      </w:rPr>
      <w:t>c</w:t>
    </w:r>
    <w:r>
      <w:rPr>
        <w:sz w:val="72"/>
      </w:rPr>
      <w:tab/>
    </w:r>
    <w:r>
      <w:rPr>
        <w:b/>
      </w:rPr>
      <w:t>2001 TOLLS TASK FORCE</w:t>
    </w:r>
  </w:p>
  <w:p>
    <w:pPr>
      <w:pStyle w:val="Normal"/>
      <w:tabs>
        <w:tab w:val="clear" w:pos="720"/>
        <w:tab w:val="right" w:pos="9360" w:leader="none"/>
      </w:tabs>
      <w:ind w:end="-720"/>
      <w:rPr>
        <w:b/>
      </w:rPr>
    </w:pPr>
    <w:r>
      <w:rPr>
        <w:b/>
      </w:rPr>
      <w:tab/>
      <w:t>VOTING FAX FORM</w:t>
    </w:r>
  </w:p>
  <w:p>
    <w:pPr>
      <w:pStyle w:val="Normal"/>
      <w:tabs>
        <w:tab w:val="clear" w:pos="720"/>
        <w:tab w:val="right" w:pos="9360" w:leader="none"/>
      </w:tabs>
      <w:ind w:end="-720"/>
      <w:rPr>
        <w:b/>
        <w:sz w:val="72"/>
      </w:rPr>
    </w:pPr>
    <w:r>
      <w:rPr>
        <w:b/>
        <w:sz w:val="72"/>
      </w:rPr>
    </w:r>
  </w:p>
  <w:p>
    <w:pPr>
      <w:pStyle w:val="Normal"/>
      <w:tabs>
        <w:tab w:val="clear" w:pos="720"/>
        <w:tab w:val="left" w:pos="3960" w:leader="none"/>
      </w:tabs>
      <w:rPr>
        <w:sz w:val="14"/>
        <w:u w:val="single"/>
      </w:rPr>
    </w:pPr>
    <w:r>
      <w:rPr>
        <w:sz w:val="14"/>
        <w:u w:val="single"/>
      </w:rPr>
      <w:tab/>
      <w:tab/>
      <w:tab/>
      <w:tab/>
      <w:tab/>
      <w:tab/>
      <w:tab/>
      <w:tab/>
      <w:tab/>
    </w:r>
  </w:p>
  <w:p>
    <w:pPr>
      <w:pStyle w:val="Normal"/>
      <w:tabs>
        <w:tab w:val="clear" w:pos="720"/>
        <w:tab w:val="left" w:pos="3960" w:leader="none"/>
      </w:tabs>
      <w:rPr>
        <w:b/>
        <w:sz w:val="14"/>
        <w:u w:val="single"/>
      </w:rPr>
    </w:pPr>
    <w:r>
      <w:rPr>
        <w:b/>
        <w:sz w:val="14"/>
        <w:u w:val="single"/>
      </w:rPr>
    </w:r>
  </w:p>
  <w:p>
    <w:pPr>
      <w:pStyle w:val="Normal"/>
      <w:tabs>
        <w:tab w:val="clear" w:pos="720"/>
        <w:tab w:val="left" w:pos="1440" w:leader="none"/>
      </w:tabs>
      <w:ind w:hanging="1260" w:start="1260" w:end="0"/>
      <w:rPr/>
    </w:pPr>
    <w:r>
      <w:rPr>
        <w:b/>
        <w:sz w:val="28"/>
      </w:rPr>
      <w:t>ISSUE:</w:t>
    </w:r>
    <w:r>
      <w:rPr>
        <w:sz w:val="28"/>
      </w:rPr>
      <w:tab/>
      <w:t>D – 38  Services &amp; Pricing Approval</w:t>
    </w:r>
  </w:p>
  <w:p>
    <w:pPr>
      <w:pStyle w:val="Header"/>
      <w:ind w:end="-720"/>
      <w:rPr>
        <w:sz w:val="14"/>
        <w:u w:val="single"/>
      </w:rPr>
    </w:pPr>
    <w:r>
      <w:rPr>
        <w:sz w:val="14"/>
        <w:u w:val="single"/>
      </w:rPr>
      <w:tab/>
      <w:tab/>
      <w:tab/>
      <w:tab/>
    </w:r>
  </w:p>
  <w:p>
    <w:pPr>
      <w:pStyle w:val="Normal"/>
      <w:tabs>
        <w:tab w:val="clear" w:pos="720"/>
        <w:tab w:val="left" w:pos="3960" w:leader="none"/>
      </w:tabs>
      <w:spacing w:lineRule="atLeast" w:line="360"/>
      <w:rPr>
        <w:sz w:val="14"/>
        <w:u w:val="single"/>
      </w:rPr>
    </w:pPr>
    <w:r>
      <w:rPr>
        <w:sz w:val="14"/>
        <w:u w:val="single"/>
      </w:rPr>
    </w:r>
  </w:p>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tyle>
  <w:style w:type="paragraph" w:styleId="Header">
    <w:name w:val="header"/>
    <w:basedOn w:val="Normal"/>
    <w:pPr>
      <w:tabs>
        <w:tab w:val="clear" w:pos="720"/>
        <w:tab w:val="center" w:pos="4252" w:leader="none"/>
        <w:tab w:val="right" w:pos="8504" w:leader="none"/>
      </w:tabs>
    </w:pPr>
    <w:rPr/>
  </w:style>
  <w:style w:type="paragraph" w:styleId="bulletpara">
    <w:name w:val="bullet para"/>
    <w:basedOn w:val="Normal"/>
    <w:qFormat/>
    <w:pPr>
      <w:tabs>
        <w:tab w:val="left" w:pos="720" w:leader="none"/>
      </w:tabs>
      <w:ind w:hanging="72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marg_seeger@transcanada.com"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2001-04-11T14:53:00Z</dcterms:created>
  <dc:creator>TransCanada PipeLines</dc:creator>
  <dc:description/>
  <dc:language>en-CA</dc:language>
  <cp:lastModifiedBy>Marg_Seeger</cp:lastModifiedBy>
  <cp:lastPrinted>2001-01-29T15:41:00Z</cp:lastPrinted>
  <dcterms:modified xsi:type="dcterms:W3CDTF">2001-04-11T20:34:00Z</dcterms:modified>
  <cp:revision>3</cp:revision>
  <dc:subject/>
  <dc:title>FAX VOTE FORM (Issue B-1)</dc:title>
</cp:coreProperties>
</file>