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i/>
          <w:i/>
          <w:u w:val="none"/>
        </w:rPr>
      </w:pPr>
      <w:r>
        <w:rPr>
          <w:rFonts w:cs="Arial" w:ascii="Arial" w:hAnsi="Arial"/>
          <w:i/>
          <w:u w:val="none"/>
        </w:rPr>
        <w:t xml:space="preserve">Inserts: </w:t>
      </w:r>
    </w:p>
    <w:p>
      <w:pPr>
        <w:pStyle w:val="Normal"/>
        <w:rPr>
          <w:i/>
          <w:i/>
        </w:rPr>
      </w:pPr>
      <w:r>
        <w:rPr>
          <w:i/>
        </w:rPr>
        <w:t xml:space="preserve"> </w:t>
      </w:r>
      <w:r>
        <w:rPr>
          <w:i/>
        </w:rPr>
        <w:t>- Financial advisor disclaimer</w:t>
      </w:r>
    </w:p>
    <w:p>
      <w:pPr>
        <w:pStyle w:val="Normal"/>
        <w:rPr>
          <w:i/>
          <w:i/>
        </w:rPr>
      </w:pPr>
      <w:r>
        <w:rPr>
          <w:i/>
        </w:rPr>
        <w:t xml:space="preserve"> </w:t>
      </w:r>
      <w:r>
        <w:rPr>
          <w:i/>
        </w:rPr>
        <w:t>- Authoritative accounting literature disclaimer</w:t>
      </w:r>
    </w:p>
    <w:p>
      <w:pPr>
        <w:pStyle w:val="Normal"/>
        <w:ind w:hanging="180" w:start="180" w:end="0"/>
        <w:rPr>
          <w:i/>
          <w:i/>
        </w:rPr>
      </w:pPr>
      <w:r>
        <w:rPr>
          <w:i/>
        </w:rPr>
        <w:t xml:space="preserve"> </w:t>
      </w:r>
      <w:r>
        <w:rPr>
          <w:i/>
        </w:rPr>
        <w:t xml:space="preserve">- Note that information provided to facilitate timely interpretation of FAS 133 in order to aid risk mgmt decisions. </w:t>
      </w:r>
    </w:p>
    <w:p>
      <w:pPr>
        <w:pStyle w:val="Heading1"/>
        <w:ind w:hanging="0" w:start="0"/>
        <w:rPr>
          <w:rFonts w:ascii="Arial" w:hAnsi="Arial" w:cs="Arial"/>
          <w:i/>
          <w:i/>
          <w:u w:val="none"/>
        </w:rPr>
      </w:pPr>
      <w:r>
        <w:rPr>
          <w:rFonts w:cs="Arial" w:ascii="Arial" w:hAnsi="Arial"/>
          <w:i/>
          <w:u w:val="none"/>
        </w:rPr>
      </w:r>
    </w:p>
    <w:p>
      <w:pPr>
        <w:pStyle w:val="Heading1"/>
        <w:ind w:hanging="0" w:start="0"/>
        <w:rPr>
          <w:rFonts w:ascii="Arial" w:hAnsi="Arial" w:cs="Arial"/>
          <w:u w:val="none"/>
        </w:rPr>
      </w:pPr>
      <w:r>
        <w:rPr>
          <w:rFonts w:cs="Arial" w:ascii="Arial" w:hAnsi="Arial"/>
          <w:u w:val="none"/>
        </w:rPr>
      </w:r>
    </w:p>
    <w:p>
      <w:pPr>
        <w:pStyle w:val="Heading1"/>
        <w:ind w:hanging="0" w:start="0"/>
        <w:rPr>
          <w:rFonts w:ascii="Arial" w:hAnsi="Arial" w:cs="Arial"/>
          <w:u w:val="none"/>
        </w:rPr>
      </w:pPr>
      <w:r>
        <w:rPr>
          <w:rFonts w:cs="Arial" w:ascii="Arial" w:hAnsi="Arial"/>
          <w:u w:val="none"/>
        </w:rPr>
      </w:r>
    </w:p>
    <w:p>
      <w:pPr>
        <w:pStyle w:val="Heading1"/>
        <w:ind w:hanging="0" w:start="0"/>
        <w:rPr>
          <w:rFonts w:ascii="Arial" w:hAnsi="Arial" w:cs="Arial"/>
          <w:u w:val="none"/>
        </w:rPr>
      </w:pPr>
      <w:r>
        <w:rPr>
          <w:rFonts w:cs="Arial" w:ascii="Arial" w:hAnsi="Arial"/>
          <w:u w:val="none"/>
        </w:rPr>
      </w:r>
    </w:p>
    <w:p>
      <w:pPr>
        <w:pStyle w:val="Heading1"/>
        <w:ind w:hanging="0" w:start="0"/>
        <w:rPr>
          <w:rFonts w:ascii="Arial" w:hAnsi="Arial" w:cs="Arial"/>
          <w:u w:val="none"/>
        </w:rPr>
      </w:pPr>
      <w:r>
        <w:rPr>
          <w:rFonts w:cs="Arial" w:ascii="Arial" w:hAnsi="Arial"/>
          <w:u w:val="none"/>
        </w:rPr>
      </w:r>
    </w:p>
    <w:p>
      <w:pPr>
        <w:pStyle w:val="Heading1"/>
        <w:pBdr>
          <w:top w:val="single" w:sz="4" w:space="1" w:color="000000"/>
          <w:left w:val="single" w:sz="4" w:space="4" w:color="000000"/>
          <w:bottom w:val="single" w:sz="4" w:space="1" w:color="000000"/>
          <w:right w:val="single" w:sz="4" w:space="4" w:color="000000"/>
        </w:pBdr>
        <w:ind w:hanging="0" w:start="0"/>
        <w:rPr>
          <w:rFonts w:ascii="Arial" w:hAnsi="Arial" w:cs="Arial"/>
          <w:u w:val="none"/>
        </w:rPr>
      </w:pPr>
      <w:r>
        <w:rPr>
          <w:rFonts w:cs="Arial" w:ascii="Arial" w:hAnsi="Arial"/>
          <w:u w:val="none"/>
        </w:rPr>
        <w:t>FAS 133 SUMMARY</w:t>
      </w:r>
    </w:p>
    <w:p>
      <w:pPr>
        <w:pStyle w:val="Normal"/>
        <w:rPr>
          <w:rFonts w:ascii="Arial" w:hAnsi="Arial" w:cs="Arial"/>
          <w:b/>
          <w:u w:val="single"/>
        </w:rPr>
      </w:pPr>
      <w:r>
        <w:rPr>
          <w:rFonts w:cs="Arial" w:ascii="Arial" w:hAnsi="Arial"/>
          <w:b/>
          <w:u w:val="single"/>
        </w:rPr>
      </w:r>
    </w:p>
    <w:p>
      <w:pPr>
        <w:pStyle w:val="Normal"/>
        <w:rPr>
          <w:rFonts w:ascii="Arial" w:hAnsi="Arial" w:cs="Arial"/>
          <w:b/>
          <w:u w:val="single"/>
        </w:rPr>
      </w:pPr>
      <w:r>
        <w:rPr>
          <w:rFonts w:cs="Arial" w:ascii="Arial" w:hAnsi="Arial"/>
          <w:b/>
          <w:u w:val="single"/>
        </w:rPr>
      </w:r>
    </w:p>
    <w:p>
      <w:pPr>
        <w:pStyle w:val="Normal"/>
        <w:numPr>
          <w:ilvl w:val="0"/>
          <w:numId w:val="11"/>
        </w:numPr>
        <w:tabs>
          <w:tab w:val="clear" w:pos="720"/>
          <w:tab w:val="left" w:pos="360" w:leader="none"/>
        </w:tabs>
        <w:rPr>
          <w:rFonts w:ascii="Arial" w:hAnsi="Arial" w:cs="Arial"/>
          <w:b/>
        </w:rPr>
      </w:pPr>
      <w:r>
        <w:rPr>
          <w:rFonts w:cs="Arial" w:ascii="Arial" w:hAnsi="Arial"/>
          <w:b/>
        </w:rPr>
        <w:t>FAS 133 defines a derivative as a financial instrument that:</w:t>
      </w:r>
    </w:p>
    <w:p>
      <w:pPr>
        <w:pStyle w:val="Normal"/>
        <w:numPr>
          <w:ilvl w:val="0"/>
          <w:numId w:val="13"/>
        </w:numPr>
        <w:tabs>
          <w:tab w:val="clear" w:pos="720"/>
          <w:tab w:val="left" w:pos="1080" w:leader="none"/>
        </w:tabs>
        <w:ind w:hanging="360" w:start="1080" w:end="0"/>
        <w:rPr>
          <w:rFonts w:ascii="Arial" w:hAnsi="Arial" w:cs="Arial"/>
        </w:rPr>
      </w:pPr>
      <w:r>
        <w:rPr>
          <w:rFonts w:cs="Arial" w:ascii="Arial" w:hAnsi="Arial"/>
        </w:rPr>
        <w:t>has a notional amount</w:t>
      </w:r>
    </w:p>
    <w:p>
      <w:pPr>
        <w:pStyle w:val="Normal"/>
        <w:numPr>
          <w:ilvl w:val="0"/>
          <w:numId w:val="13"/>
        </w:numPr>
        <w:tabs>
          <w:tab w:val="clear" w:pos="720"/>
          <w:tab w:val="left" w:pos="1080" w:leader="none"/>
        </w:tabs>
        <w:ind w:hanging="360" w:start="1080" w:end="0"/>
        <w:rPr>
          <w:rFonts w:ascii="Arial" w:hAnsi="Arial" w:cs="Arial"/>
        </w:rPr>
      </w:pPr>
      <w:r>
        <w:rPr>
          <w:rFonts w:cs="Arial" w:ascii="Arial" w:hAnsi="Arial"/>
        </w:rPr>
        <w:t>has an underlying</w:t>
      </w:r>
    </w:p>
    <w:p>
      <w:pPr>
        <w:pStyle w:val="Normal"/>
        <w:numPr>
          <w:ilvl w:val="0"/>
          <w:numId w:val="13"/>
        </w:numPr>
        <w:tabs>
          <w:tab w:val="clear" w:pos="720"/>
          <w:tab w:val="left" w:pos="1080" w:leader="none"/>
        </w:tabs>
        <w:ind w:hanging="360" w:start="1080" w:end="0"/>
        <w:rPr>
          <w:rFonts w:ascii="Arial" w:hAnsi="Arial" w:cs="Arial"/>
        </w:rPr>
      </w:pPr>
      <w:r>
        <w:rPr>
          <w:rFonts w:cs="Arial" w:ascii="Arial" w:hAnsi="Arial"/>
        </w:rPr>
        <w:t>requires no initial investment</w:t>
      </w:r>
    </w:p>
    <w:p>
      <w:pPr>
        <w:pStyle w:val="Normal"/>
        <w:numPr>
          <w:ilvl w:val="0"/>
          <w:numId w:val="13"/>
        </w:numPr>
        <w:tabs>
          <w:tab w:val="clear" w:pos="720"/>
          <w:tab w:val="left" w:pos="1080" w:leader="none"/>
        </w:tabs>
        <w:ind w:hanging="360" w:start="1080" w:end="0"/>
        <w:rPr>
          <w:rFonts w:ascii="Arial" w:hAnsi="Arial" w:cs="Arial"/>
        </w:rPr>
      </w:pPr>
      <w:r>
        <w:rPr>
          <w:rFonts w:cs="Arial" w:ascii="Arial" w:hAnsi="Arial"/>
        </w:rPr>
        <w:t>has no ability to net settle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2"/>
        <w:numPr>
          <w:ilvl w:val="0"/>
          <w:numId w:val="11"/>
        </w:numPr>
        <w:tabs>
          <w:tab w:val="clear" w:pos="720"/>
          <w:tab w:val="left" w:pos="360" w:leader="none"/>
        </w:tabs>
        <w:ind w:hanging="0" w:start="0"/>
        <w:rPr>
          <w:rFonts w:ascii="Arial" w:hAnsi="Arial" w:cs="Arial"/>
        </w:rPr>
      </w:pPr>
      <w:r>
        <w:rPr>
          <w:rFonts w:cs="Arial" w:ascii="Arial" w:hAnsi="Arial"/>
        </w:rPr>
        <w:t>Common derivatives used as hedges and accounting methodology for each:</w:t>
      </w:r>
    </w:p>
    <w:p>
      <w:pPr>
        <w:pStyle w:val="Normal"/>
        <w:numPr>
          <w:ilvl w:val="0"/>
          <w:numId w:val="12"/>
        </w:numPr>
        <w:tabs>
          <w:tab w:val="clear" w:pos="720"/>
          <w:tab w:val="left" w:pos="540" w:leader="none"/>
        </w:tabs>
        <w:spacing w:lineRule="atLeast" w:line="240"/>
        <w:ind w:hanging="360" w:start="720" w:end="0"/>
        <w:rPr>
          <w:rFonts w:ascii="Arial" w:hAnsi="Arial" w:cs="Arial"/>
          <w:b/>
          <w:color w:val="000000"/>
          <w:lang w:eastAsia="en-US"/>
        </w:rPr>
      </w:pPr>
      <w:r>
        <w:rPr>
          <w:rFonts w:cs="Arial" w:ascii="Arial" w:hAnsi="Arial"/>
          <w:b/>
          <w:color w:val="000000"/>
          <w:lang w:eastAsia="en-US"/>
        </w:rPr>
        <w:t>Cash Flow hedges ("fixes" a floating variable):</w:t>
      </w:r>
    </w:p>
    <w:p>
      <w:pPr>
        <w:pStyle w:val="BodyTextIndent"/>
        <w:rPr>
          <w:rFonts w:ascii="Arial" w:hAnsi="Arial" w:cs="Arial"/>
        </w:rPr>
      </w:pPr>
      <w:r>
        <w:rPr>
          <w:rFonts w:cs="Arial" w:ascii="Arial" w:hAnsi="Arial"/>
        </w:rPr>
        <w:t xml:space="preserve">The hedging instrument (a derivative) is fair valued each period with changes in the fair value recorded to "Other Comprehensive Income" (OCI) to the extent the hedge is effective (see effectiveness testing below). Any "ineffectiveness" is recorded to income. OCI is a separate line item in the equity portion of the balance sheet – it does not flow through retained earnings.  Note the hedging instrument is fair valued, the hedged instrument is not. </w:t>
      </w:r>
    </w:p>
    <w:p>
      <w:pPr>
        <w:pStyle w:val="Normal"/>
        <w:spacing w:lineRule="atLeast" w:line="240"/>
        <w:ind w:start="720" w:end="0"/>
        <w:rPr>
          <w:rFonts w:ascii="Arial" w:hAnsi="Arial" w:cs="Arial"/>
          <w:color w:val="000000"/>
          <w:lang w:eastAsia="en-US"/>
        </w:rPr>
      </w:pPr>
      <w:r>
        <w:rPr>
          <w:rFonts w:cs="Arial" w:ascii="Arial" w:hAnsi="Arial"/>
          <w:color w:val="000000"/>
          <w:lang w:eastAsia="en-US"/>
        </w:rPr>
      </w:r>
    </w:p>
    <w:p>
      <w:pPr>
        <w:pStyle w:val="Normal"/>
        <w:numPr>
          <w:ilvl w:val="0"/>
          <w:numId w:val="12"/>
        </w:numPr>
        <w:tabs>
          <w:tab w:val="clear" w:pos="720"/>
          <w:tab w:val="left" w:pos="540" w:leader="none"/>
        </w:tabs>
        <w:spacing w:lineRule="atLeast" w:line="240"/>
        <w:ind w:hanging="360" w:start="720" w:end="0"/>
        <w:rPr>
          <w:rFonts w:ascii="Arial" w:hAnsi="Arial" w:cs="Arial"/>
          <w:b/>
          <w:color w:val="000000"/>
          <w:lang w:eastAsia="en-US"/>
        </w:rPr>
      </w:pPr>
      <w:r>
        <w:rPr>
          <w:rFonts w:cs="Arial" w:ascii="Arial" w:hAnsi="Arial"/>
          <w:b/>
          <w:color w:val="000000"/>
          <w:lang w:eastAsia="en-US"/>
        </w:rPr>
        <w:t>Fair Value hedges ("floats" a fixed rate/price):</w:t>
      </w:r>
    </w:p>
    <w:p>
      <w:pPr>
        <w:pStyle w:val="Normal"/>
        <w:spacing w:lineRule="atLeast" w:line="240"/>
        <w:ind w:start="720" w:end="0"/>
        <w:rPr/>
      </w:pPr>
      <w:r>
        <w:rPr>
          <w:rFonts w:cs="Arial" w:ascii="Arial" w:hAnsi="Arial"/>
          <w:color w:val="000000"/>
          <w:lang w:eastAsia="en-US"/>
        </w:rPr>
        <w:t xml:space="preserve">The hedging instrument (a derivative) is fair valued each period with changes in the fair value recorded to income.  In addition, the </w:t>
      </w:r>
      <w:r>
        <w:rPr>
          <w:rFonts w:cs="Arial" w:ascii="Arial" w:hAnsi="Arial"/>
          <w:color w:val="000000"/>
          <w:u w:val="single"/>
          <w:lang w:eastAsia="en-US"/>
        </w:rPr>
        <w:t>hedged item</w:t>
      </w:r>
      <w:r>
        <w:rPr>
          <w:rFonts w:cs="Arial" w:ascii="Arial" w:hAnsi="Arial"/>
          <w:color w:val="000000"/>
          <w:lang w:eastAsia="en-US"/>
        </w:rPr>
        <w:t xml:space="preserve"> is also fair valued with changes in its fair value also recorded to income. To the extent the hedging relationship is effective, the amounts recorded to income will offset each other.</w:t>
      </w:r>
    </w:p>
    <w:p>
      <w:pPr>
        <w:pStyle w:val="Normal"/>
        <w:spacing w:lineRule="atLeast" w:line="240"/>
        <w:ind w:start="720" w:end="0"/>
        <w:rPr>
          <w:rFonts w:ascii="Arial" w:hAnsi="Arial" w:cs="Arial"/>
          <w:color w:val="000000"/>
          <w:lang w:eastAsia="en-US"/>
        </w:rPr>
      </w:pPr>
      <w:r>
        <w:rPr>
          <w:rFonts w:cs="Arial" w:ascii="Arial" w:hAnsi="Arial"/>
          <w:color w:val="000000"/>
          <w:lang w:eastAsia="en-US"/>
        </w:rPr>
      </w:r>
    </w:p>
    <w:p>
      <w:pPr>
        <w:pStyle w:val="Normal"/>
        <w:spacing w:lineRule="atLeast" w:line="240"/>
        <w:ind w:start="720" w:end="0"/>
        <w:rPr>
          <w:rFonts w:ascii="Arial" w:hAnsi="Arial" w:cs="Arial"/>
          <w:color w:val="000000"/>
          <w:lang w:eastAsia="en-US"/>
        </w:rPr>
      </w:pPr>
      <w:r>
        <w:rPr>
          <w:rFonts w:cs="Arial" w:ascii="Arial" w:hAnsi="Arial"/>
          <w:color w:val="000000"/>
          <w:lang w:eastAsia="en-US"/>
        </w:rPr>
      </w:r>
    </w:p>
    <w:p>
      <w:pPr>
        <w:pStyle w:val="Heading2"/>
        <w:numPr>
          <w:ilvl w:val="0"/>
          <w:numId w:val="11"/>
        </w:numPr>
        <w:tabs>
          <w:tab w:val="clear" w:pos="720"/>
          <w:tab w:val="left" w:pos="360" w:leader="none"/>
          <w:tab w:val="left" w:pos="450" w:leader="none"/>
        </w:tabs>
        <w:ind w:hanging="0" w:start="0"/>
        <w:rPr>
          <w:rFonts w:ascii="Arial" w:hAnsi="Arial" w:cs="Arial"/>
        </w:rPr>
      </w:pPr>
      <w:r>
        <w:rPr>
          <w:rFonts w:cs="Arial" w:ascii="Arial" w:hAnsi="Arial"/>
        </w:rPr>
        <w:t>Effectiveness testing:</w:t>
      </w:r>
    </w:p>
    <w:p>
      <w:pPr>
        <w:pStyle w:val="BodyTextIndent2"/>
        <w:rPr/>
      </w:pPr>
      <w:r>
        <w:rPr/>
        <w:t xml:space="preserve">At inception, effectiveness testing must be done to demonstrate that the hedge is expected to be "highly effective" in offsetting cash flows (cash flow hedge) or fair values (fair value hedge) of the hedged item. An 80% - 120% correlation of change in fair value is considered highly effective. </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BodyTextIndent2"/>
        <w:rPr/>
      </w:pPr>
      <w:r>
        <w:rPr/>
        <w:t xml:space="preserve">Two effectiveness tests must be performed at least each quarter. Note the Company must document the method by which these tests are to be conducted at the </w:t>
      </w:r>
      <w:r>
        <w:rPr>
          <w:u w:val="single"/>
        </w:rPr>
        <w:t>inception</w:t>
      </w:r>
      <w:r>
        <w:rPr/>
        <w:t xml:space="preserve"> of the hedge.</w:t>
      </w:r>
    </w:p>
    <w:p>
      <w:pPr>
        <w:pStyle w:val="Heading3"/>
        <w:numPr>
          <w:ilvl w:val="0"/>
          <w:numId w:val="6"/>
        </w:numPr>
        <w:rPr/>
      </w:pPr>
      <w:r>
        <w:rPr/>
        <w:t>Retrospective evaluation</w:t>
      </w:r>
    </w:p>
    <w:p>
      <w:pPr>
        <w:pStyle w:val="Normal"/>
        <w:numPr>
          <w:ilvl w:val="0"/>
          <w:numId w:val="3"/>
        </w:numPr>
        <w:tabs>
          <w:tab w:val="clear" w:pos="720"/>
          <w:tab w:val="left" w:pos="1080" w:leader="none"/>
        </w:tabs>
        <w:ind w:hanging="360" w:start="1080" w:end="0"/>
        <w:rPr>
          <w:rFonts w:ascii="Arial" w:hAnsi="Arial" w:cs="Arial"/>
        </w:rPr>
      </w:pPr>
      <w:r>
        <w:rPr>
          <w:rFonts w:cs="Arial" w:ascii="Arial" w:hAnsi="Arial"/>
        </w:rPr>
        <w:t>If a hedging relationship falls out of the "highly effective" range for the retrospective test, but stays in the range for the prospective test, the Company can still obtain hedge accounting for the hedge in the future. However, the change in fair value of the hedge that occurs in the reporting period that retrospective test fails must be recorded to income.</w:t>
      </w:r>
    </w:p>
    <w:p>
      <w:pPr>
        <w:pStyle w:val="Normal"/>
        <w:ind w:start="360" w:end="0"/>
        <w:rPr>
          <w:rFonts w:ascii="Arial" w:hAnsi="Arial" w:cs="Arial"/>
        </w:rPr>
      </w:pPr>
      <w:r>
        <w:rPr>
          <w:rFonts w:cs="Arial" w:ascii="Arial" w:hAnsi="Arial"/>
        </w:rPr>
      </w:r>
      <w:r>
        <w:br w:type="page"/>
      </w:r>
    </w:p>
    <w:p>
      <w:pPr>
        <w:pStyle w:val="Heading3"/>
        <w:numPr>
          <w:ilvl w:val="0"/>
          <w:numId w:val="6"/>
        </w:numPr>
        <w:rPr/>
      </w:pPr>
      <w:r>
        <w:rPr/>
        <w:t>Prospective evaluation</w:t>
      </w:r>
    </w:p>
    <w:p>
      <w:pPr>
        <w:pStyle w:val="Normal"/>
        <w:numPr>
          <w:ilvl w:val="0"/>
          <w:numId w:val="3"/>
        </w:numPr>
        <w:tabs>
          <w:tab w:val="clear" w:pos="720"/>
          <w:tab w:val="left" w:pos="1080" w:leader="none"/>
        </w:tabs>
        <w:ind w:hanging="360" w:start="1080" w:end="0"/>
        <w:rPr>
          <w:rFonts w:ascii="Arial" w:hAnsi="Arial" w:cs="Arial"/>
        </w:rPr>
      </w:pPr>
      <w:r>
        <w:rPr>
          <w:rFonts w:cs="Arial" w:ascii="Arial" w:hAnsi="Arial"/>
        </w:rPr>
        <w:t>If a hedging relationship falls out of the "highly effective" range for the prospective test, the Company does not qualify for hedge accounting.</w:t>
      </w:r>
    </w:p>
    <w:p>
      <w:pPr>
        <w:pStyle w:val="Normal"/>
        <w:numPr>
          <w:ilvl w:val="0"/>
          <w:numId w:val="5"/>
        </w:numPr>
        <w:tabs>
          <w:tab w:val="clear" w:pos="720"/>
          <w:tab w:val="left" w:pos="1620" w:leader="none"/>
        </w:tabs>
        <w:ind w:hanging="360" w:start="1620" w:end="0"/>
        <w:rPr>
          <w:rFonts w:ascii="Arial" w:hAnsi="Arial" w:cs="Arial"/>
        </w:rPr>
      </w:pPr>
      <w:r>
        <w:rPr>
          <w:rFonts w:cs="Arial" w:ascii="Arial" w:hAnsi="Arial"/>
        </w:rPr>
        <w:t>The Company now has a "naked" hedging instrument that must be fair valued at least each quarter with changes in the fair value recorded to income.</w:t>
      </w:r>
    </w:p>
    <w:p>
      <w:pPr>
        <w:pStyle w:val="Normal"/>
        <w:numPr>
          <w:ilvl w:val="0"/>
          <w:numId w:val="5"/>
        </w:numPr>
        <w:tabs>
          <w:tab w:val="clear" w:pos="720"/>
          <w:tab w:val="left" w:pos="1620" w:leader="none"/>
        </w:tabs>
        <w:ind w:hanging="360" w:start="1620" w:end="0"/>
        <w:rPr>
          <w:rFonts w:ascii="Arial" w:hAnsi="Arial" w:cs="Arial"/>
        </w:rPr>
      </w:pPr>
      <w:r>
        <w:rPr>
          <w:rFonts w:cs="Arial" w:ascii="Arial" w:hAnsi="Arial"/>
        </w:rPr>
        <w:t xml:space="preserve">If the hedge was a cash flow hedge (fixed a floating variable), the amount previously recorded into "Other Comprehensive Income" (OCI) is </w:t>
      </w:r>
      <w:r>
        <w:rPr>
          <w:rFonts w:cs="Arial" w:ascii="Arial" w:hAnsi="Arial"/>
          <w:u w:val="single"/>
        </w:rPr>
        <w:t xml:space="preserve">not </w:t>
      </w:r>
      <w:r>
        <w:rPr>
          <w:rFonts w:cs="Arial" w:ascii="Arial" w:hAnsi="Arial"/>
        </w:rPr>
        <w:t>immediately reversed to income, but will be amortized to income over the remaining life of the hedged item contract. (See hedge of Forecasted Transaction below).</w:t>
      </w:r>
    </w:p>
    <w:p>
      <w:pPr>
        <w:pStyle w:val="Normal"/>
        <w:numPr>
          <w:ilvl w:val="0"/>
          <w:numId w:val="5"/>
        </w:numPr>
        <w:tabs>
          <w:tab w:val="clear" w:pos="720"/>
          <w:tab w:val="left" w:pos="1620" w:leader="none"/>
        </w:tabs>
        <w:ind w:hanging="360" w:start="1620" w:end="0"/>
        <w:rPr>
          <w:rFonts w:ascii="Arial" w:hAnsi="Arial" w:cs="Arial"/>
        </w:rPr>
      </w:pPr>
      <w:r>
        <w:rPr>
          <w:rFonts w:cs="Arial" w:ascii="Arial" w:hAnsi="Arial"/>
        </w:rPr>
        <w:t>If the Company can find another hedged item, which bears a "highly effective" hedge relationship to the now "naked" derivative, it can designate a new hedging relationship, which will earn hedge accounting.</w:t>
      </w:r>
    </w:p>
    <w:p>
      <w:pPr>
        <w:pStyle w:val="Heading2"/>
        <w:numPr>
          <w:ilvl w:val="0"/>
          <w:numId w:val="9"/>
        </w:numPr>
        <w:tabs>
          <w:tab w:val="clear" w:pos="720"/>
          <w:tab w:val="left" w:pos="1080" w:leader="none"/>
        </w:tabs>
        <w:ind w:hanging="360" w:start="1080" w:end="0"/>
        <w:rPr>
          <w:rFonts w:ascii="Arial" w:hAnsi="Arial" w:cs="Arial"/>
          <w:b w:val="false"/>
          <w:color w:val="auto"/>
          <w:lang w:eastAsia="en-CA"/>
        </w:rPr>
      </w:pPr>
      <w:r>
        <w:rPr>
          <w:rFonts w:cs="Arial" w:ascii="Arial" w:hAnsi="Arial"/>
          <w:b w:val="false"/>
          <w:color w:val="auto"/>
          <w:lang w:eastAsia="en-CA"/>
        </w:rPr>
        <w:t>Hedge of a Forecasted Transaction:</w:t>
      </w:r>
    </w:p>
    <w:p>
      <w:pPr>
        <w:pStyle w:val="Heading2"/>
        <w:numPr>
          <w:ilvl w:val="0"/>
          <w:numId w:val="0"/>
        </w:numPr>
        <w:tabs>
          <w:tab w:val="clear" w:pos="720"/>
          <w:tab w:val="left" w:pos="1080" w:leader="none"/>
        </w:tabs>
        <w:ind w:hanging="360" w:start="1080" w:end="0"/>
        <w:rPr>
          <w:rFonts w:ascii="Arial" w:hAnsi="Arial" w:cs="Arial"/>
          <w:b w:val="false"/>
        </w:rPr>
      </w:pPr>
      <w:r>
        <w:rPr>
          <w:rFonts w:cs="Arial" w:ascii="Arial" w:hAnsi="Arial"/>
          <w:b w:val="false"/>
        </w:rPr>
        <w:tab/>
        <w:t>FAS 133 allows a company to hedge a "Forecasted Transaction" - a transaction that is expected to occur for which there is no firm commitment. (A firm commitment is a legally binding agreement with another party.) However, at each fair value date, the Company must confirm that it still considers the forecasted transaction "likely" to occur.  Should the Company fail to confirm the likelihood, it no longer qualifies for hedge accounting and must immediately transfer all amounts recorded from OCI to income.</w:t>
      </w:r>
    </w:p>
    <w:p>
      <w:pPr>
        <w:pStyle w:val="Normal"/>
        <w:rPr>
          <w:rFonts w:ascii="Arial" w:hAnsi="Arial" w:cs="Arial"/>
          <w:b/>
        </w:rPr>
      </w:pPr>
      <w:r>
        <w:rPr>
          <w:rFonts w:cs="Arial" w:ascii="Arial" w:hAnsi="Arial"/>
          <w:b/>
        </w:rPr>
      </w:r>
    </w:p>
    <w:p>
      <w:pPr>
        <w:pStyle w:val="BodyTextIndent2"/>
        <w:numPr>
          <w:ilvl w:val="0"/>
          <w:numId w:val="12"/>
        </w:numPr>
        <w:tabs>
          <w:tab w:val="left" w:pos="720" w:leader="none"/>
        </w:tabs>
        <w:ind w:hanging="360" w:start="720" w:end="0"/>
        <w:rPr>
          <w:b/>
        </w:rPr>
      </w:pPr>
      <w:r>
        <w:rPr>
          <w:b/>
        </w:rPr>
        <w:t>Two widely used effectiveness test methodologies include:</w:t>
      </w:r>
    </w:p>
    <w:p>
      <w:pPr>
        <w:pStyle w:val="Normal"/>
        <w:numPr>
          <w:ilvl w:val="0"/>
          <w:numId w:val="4"/>
        </w:numPr>
        <w:tabs>
          <w:tab w:val="clear" w:pos="720"/>
        </w:tabs>
        <w:spacing w:lineRule="atLeast" w:line="240"/>
        <w:ind w:hanging="360" w:start="1080" w:end="0"/>
        <w:rPr>
          <w:rFonts w:ascii="Arial" w:hAnsi="Arial" w:cs="Arial"/>
          <w:color w:val="000000"/>
          <w:lang w:eastAsia="en-US"/>
        </w:rPr>
      </w:pPr>
      <w:r>
        <w:rPr>
          <w:rFonts w:cs="Arial" w:ascii="Arial" w:hAnsi="Arial"/>
          <w:color w:val="000000"/>
          <w:lang w:eastAsia="en-US"/>
        </w:rPr>
        <w:t>Dollar offset (dollar value offset)</w:t>
      </w:r>
    </w:p>
    <w:p>
      <w:pPr>
        <w:pStyle w:val="Normal"/>
        <w:numPr>
          <w:ilvl w:val="0"/>
          <w:numId w:val="4"/>
        </w:numPr>
        <w:tabs>
          <w:tab w:val="clear" w:pos="720"/>
        </w:tabs>
        <w:spacing w:lineRule="atLeast" w:line="240"/>
        <w:ind w:hanging="360" w:start="1080" w:end="0"/>
        <w:rPr>
          <w:rFonts w:ascii="Arial" w:hAnsi="Arial" w:cs="Arial"/>
          <w:color w:val="000000"/>
          <w:lang w:eastAsia="en-US"/>
        </w:rPr>
      </w:pPr>
      <w:r>
        <w:rPr>
          <w:rFonts w:cs="Arial" w:ascii="Arial" w:hAnsi="Arial"/>
          <w:color w:val="000000"/>
          <w:lang w:eastAsia="en-US"/>
        </w:rPr>
        <w:t>Regression analysis (or other similar statistical based calculation)</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Heading2"/>
        <w:numPr>
          <w:ilvl w:val="0"/>
          <w:numId w:val="11"/>
        </w:numPr>
        <w:tabs>
          <w:tab w:val="clear" w:pos="720"/>
          <w:tab w:val="left" w:pos="360" w:leader="none"/>
        </w:tabs>
        <w:ind w:hanging="0" w:start="0"/>
        <w:rPr>
          <w:rFonts w:ascii="Arial" w:hAnsi="Arial" w:cs="Arial"/>
        </w:rPr>
      </w:pPr>
      <w:r>
        <w:rPr>
          <w:rFonts w:cs="Arial" w:ascii="Arial" w:hAnsi="Arial"/>
        </w:rPr>
        <w:t>Partial term hedging</w:t>
      </w:r>
    </w:p>
    <w:p>
      <w:pPr>
        <w:pStyle w:val="BodyTextIndent2"/>
        <w:numPr>
          <w:ilvl w:val="0"/>
          <w:numId w:val="10"/>
        </w:numPr>
        <w:tabs>
          <w:tab w:val="clear" w:pos="720"/>
          <w:tab w:val="left" w:pos="1080" w:leader="none"/>
        </w:tabs>
        <w:ind w:hanging="360" w:start="1080" w:end="0"/>
        <w:rPr/>
      </w:pPr>
      <w:r>
        <w:rPr/>
        <w:t xml:space="preserve">Note meeting the effectiveness criteria can be more difficult for partial term hedges. It appears a cash flow hedge (fixing a floating variable) is more likely to meet the effectiveness criteria and thus, be a successful hedge.  </w:t>
      </w:r>
    </w:p>
    <w:p>
      <w:pPr>
        <w:pStyle w:val="BodyTextIndent2"/>
        <w:tabs>
          <w:tab w:val="clear" w:pos="720"/>
          <w:tab w:val="left" w:pos="1080" w:leader="none"/>
        </w:tabs>
        <w:ind w:hanging="360" w:start="1080" w:end="0"/>
        <w:rPr/>
      </w:pPr>
      <w:r>
        <w:rPr/>
      </w:r>
    </w:p>
    <w:p>
      <w:pPr>
        <w:pStyle w:val="BodyTextIndent2"/>
        <w:numPr>
          <w:ilvl w:val="0"/>
          <w:numId w:val="10"/>
        </w:numPr>
        <w:tabs>
          <w:tab w:val="clear" w:pos="720"/>
          <w:tab w:val="left" w:pos="1080" w:leader="none"/>
        </w:tabs>
        <w:ind w:hanging="360" w:start="1080" w:end="0"/>
        <w:rPr>
          <w:b/>
          <w:i/>
          <w:i/>
        </w:rPr>
      </w:pPr>
      <w:r>
        <w:rPr>
          <w:b/>
          <w:i/>
        </w:rPr>
        <w:t>Example:</w:t>
      </w:r>
    </w:p>
    <w:p>
      <w:pPr>
        <w:pStyle w:val="BodyTextIndent2"/>
        <w:tabs>
          <w:tab w:val="clear" w:pos="720"/>
          <w:tab w:val="left" w:pos="1080" w:leader="none"/>
        </w:tabs>
        <w:ind w:start="1080" w:end="0"/>
        <w:rPr>
          <w:b/>
        </w:rPr>
      </w:pPr>
      <w:r>
        <w:rPr/>
        <w:t xml:space="preserve">The Company wants to enter into a partial term interest rate swap for 3 years of a fixed rate debt, which has a 10-year maturity – a fair value hedge. Despite the facts the Company achieves the economic protection it is seeking and the notional amounts of the swap and debt are the same, fair valuing a 3 year swap will never be "highly effective" contrasted with the fair value of a 10 year debt.  Consequently, the Company </w:t>
      </w:r>
      <w:r>
        <w:rPr>
          <w:u w:val="single"/>
        </w:rPr>
        <w:t>cannot</w:t>
      </w:r>
      <w:r>
        <w:rPr/>
        <w:t xml:space="preserve"> meet the effectiveness test and therefore, cannot obtain hedge accounting. </w:t>
      </w:r>
    </w:p>
    <w:p>
      <w:pPr>
        <w:pStyle w:val="Normal"/>
        <w:spacing w:lineRule="atLeast" w:line="240"/>
        <w:rPr>
          <w:rFonts w:ascii="Arial" w:hAnsi="Arial" w:cs="Arial"/>
          <w:b/>
          <w:color w:val="000000"/>
          <w:lang w:eastAsia="en-US"/>
        </w:rPr>
      </w:pPr>
      <w:r>
        <w:rPr>
          <w:rFonts w:cs="Arial" w:ascii="Arial" w:hAnsi="Arial"/>
          <w:b/>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numPr>
          <w:ilvl w:val="0"/>
          <w:numId w:val="11"/>
        </w:numPr>
        <w:tabs>
          <w:tab w:val="clear" w:pos="720"/>
          <w:tab w:val="left" w:pos="360" w:leader="none"/>
        </w:tabs>
        <w:ind w:hanging="360" w:start="360" w:end="0"/>
        <w:rPr>
          <w:rFonts w:ascii="Arial" w:hAnsi="Arial" w:cs="Arial"/>
          <w:b/>
        </w:rPr>
      </w:pPr>
      <w:r>
        <w:rPr>
          <w:rFonts w:cs="Arial" w:ascii="Arial" w:hAnsi="Arial"/>
          <w:b/>
        </w:rPr>
        <w:t>FAS 133 effect on Drilling and E&amp;P companies:</w:t>
      </w:r>
    </w:p>
    <w:p>
      <w:pPr>
        <w:pStyle w:val="BodyTextIndent3"/>
        <w:rPr/>
      </w:pPr>
      <w:r>
        <w:rPr/>
        <w:t>Drilling contracts may fall into three possible categories under FAS 133:</w:t>
      </w:r>
    </w:p>
    <w:p>
      <w:pPr>
        <w:pStyle w:val="BodyTextIndent3"/>
        <w:numPr>
          <w:ilvl w:val="0"/>
          <w:numId w:val="2"/>
        </w:numPr>
        <w:tabs>
          <w:tab w:val="left" w:pos="720" w:leader="none"/>
        </w:tabs>
        <w:ind w:hanging="360" w:start="720" w:end="0"/>
        <w:rPr>
          <w:b/>
        </w:rPr>
      </w:pPr>
      <w:r>
        <w:rPr>
          <w:b/>
        </w:rPr>
        <w:t>Contracts may be considered derivatives under FAS 133.</w:t>
      </w:r>
    </w:p>
    <w:p>
      <w:pPr>
        <w:pStyle w:val="BodyTextIndent3"/>
        <w:ind w:start="720" w:end="0"/>
        <w:rPr/>
      </w:pPr>
      <w:r>
        <w:rPr/>
        <w:t xml:space="preserve">Should a drilling contract be considered a derivative under FAS 133, a derivative cannot hedge another derivative. Consequently, the Company cannot qualify for hedge accounting. Both the drilling contract and any risk management instrument used to reduce the exposure of that contract will be fair valued with changes in fair value recorded to income. </w:t>
      </w:r>
    </w:p>
    <w:p>
      <w:pPr>
        <w:pStyle w:val="BodyTextIndent3"/>
        <w:ind w:start="720" w:end="0"/>
        <w:rPr/>
      </w:pPr>
      <w:r>
        <w:rPr/>
      </w:r>
    </w:p>
    <w:p>
      <w:pPr>
        <w:pStyle w:val="BodyTextIndent3"/>
        <w:ind w:start="720" w:end="0"/>
        <w:rPr/>
      </w:pPr>
      <w:r>
        <w:rPr/>
      </w:r>
      <w:r>
        <w:br w:type="page"/>
      </w:r>
    </w:p>
    <w:p>
      <w:pPr>
        <w:pStyle w:val="BodyTextIndent3"/>
        <w:numPr>
          <w:ilvl w:val="0"/>
          <w:numId w:val="2"/>
        </w:numPr>
        <w:tabs>
          <w:tab w:val="left" w:pos="720" w:leader="none"/>
        </w:tabs>
        <w:ind w:hanging="360" w:start="720" w:end="0"/>
        <w:rPr>
          <w:b/>
        </w:rPr>
      </w:pPr>
      <w:r>
        <w:rPr>
          <w:b/>
        </w:rPr>
        <w:t>Contracts may be considered derivatives under FAS 133, but excluded under the ‘normal purchases and normal sales’ clause.</w:t>
      </w:r>
    </w:p>
    <w:p>
      <w:pPr>
        <w:pStyle w:val="BodyTextIndent3"/>
        <w:ind w:start="720" w:end="0"/>
        <w:rPr/>
      </w:pPr>
      <w:r>
        <w:rPr/>
        <w:t xml:space="preserve">Companies have varying views of this exclusion. Some see the exclusion as an election - each Company has the choice to choose between utilizing the exclusion or not. Others see the exclusion as mandatory if the Company qualifies for it. </w:t>
      </w:r>
    </w:p>
    <w:p>
      <w:pPr>
        <w:pStyle w:val="BodyTextIndent3"/>
        <w:numPr>
          <w:ilvl w:val="0"/>
          <w:numId w:val="8"/>
        </w:numPr>
        <w:tabs>
          <w:tab w:val="clear" w:pos="720"/>
          <w:tab w:val="left" w:pos="1080" w:leader="none"/>
        </w:tabs>
        <w:ind w:hanging="360" w:start="1080" w:end="0"/>
        <w:rPr>
          <w:b/>
        </w:rPr>
      </w:pPr>
      <w:r>
        <w:rPr/>
        <w:t xml:space="preserve">Should the Company elect the exclusion, the drilling contract can be a hedged instrument. See C.  </w:t>
      </w:r>
    </w:p>
    <w:p>
      <w:pPr>
        <w:pStyle w:val="BodyTextIndent3"/>
        <w:numPr>
          <w:ilvl w:val="0"/>
          <w:numId w:val="8"/>
        </w:numPr>
        <w:tabs>
          <w:tab w:val="clear" w:pos="720"/>
          <w:tab w:val="left" w:pos="1080" w:leader="none"/>
        </w:tabs>
        <w:ind w:hanging="360" w:start="1080" w:end="0"/>
        <w:rPr>
          <w:b/>
        </w:rPr>
      </w:pPr>
      <w:r>
        <w:rPr/>
        <w:t xml:space="preserve">Should the Company choose not to utilize the exclusion and consider the drilling contract a derivative, see A. </w:t>
      </w:r>
    </w:p>
    <w:p>
      <w:pPr>
        <w:pStyle w:val="BodyTextIndent3"/>
        <w:ind w:start="0" w:end="0"/>
        <w:rPr>
          <w:b/>
        </w:rPr>
      </w:pPr>
      <w:r>
        <w:rPr>
          <w:b/>
        </w:rPr>
      </w:r>
    </w:p>
    <w:p>
      <w:pPr>
        <w:pStyle w:val="BodyTextIndent3"/>
        <w:numPr>
          <w:ilvl w:val="0"/>
          <w:numId w:val="2"/>
        </w:numPr>
        <w:ind w:hanging="0" w:start="360" w:end="0"/>
        <w:rPr>
          <w:b/>
        </w:rPr>
      </w:pPr>
      <w:r>
        <w:rPr>
          <w:b/>
        </w:rPr>
        <w:t xml:space="preserve">Contracts may not be considered derivatives under FAS 133. </w:t>
      </w:r>
    </w:p>
    <w:p>
      <w:pPr>
        <w:pStyle w:val="BodyTextIndent3"/>
        <w:numPr>
          <w:ilvl w:val="0"/>
          <w:numId w:val="7"/>
        </w:numPr>
        <w:tabs>
          <w:tab w:val="clear" w:pos="720"/>
        </w:tabs>
        <w:ind w:hanging="360" w:start="1080" w:end="0"/>
        <w:rPr>
          <w:b/>
        </w:rPr>
      </w:pPr>
      <w:r>
        <w:rPr/>
        <w:t xml:space="preserve">Should a drilling contract not be considered a derivative under FAS 133, the contract can be a hedged instrument that may qualify for hedge accounting – see criteria and accounting treatment outlined above. </w:t>
      </w:r>
    </w:p>
    <w:p>
      <w:pPr>
        <w:pStyle w:val="BodyTextIndent3"/>
        <w:numPr>
          <w:ilvl w:val="0"/>
          <w:numId w:val="7"/>
        </w:numPr>
        <w:tabs>
          <w:tab w:val="clear" w:pos="720"/>
        </w:tabs>
        <w:ind w:hanging="360" w:start="1080" w:end="0"/>
        <w:rPr/>
      </w:pPr>
      <w:r>
        <w:rPr/>
        <w:t xml:space="preserve">Note insurance contracts and options used to protect the Company from dayrate volatility are unlikely to meet the effectiveness test or qualify for hedge accounting. Consequently, the drilling contract will remain under the accrual accounting method and the risk management instrument will be fair valued with changes in fair value recorded to income.  </w:t>
      </w:r>
    </w:p>
    <w:p>
      <w:pPr>
        <w:pStyle w:val="Normal"/>
        <w:rPr>
          <w:rFonts w:ascii="Arial" w:hAnsi="Arial" w:cs="Arial"/>
        </w:rPr>
      </w:pPr>
      <w:r>
        <w:rPr>
          <w:rFonts w:cs="Arial" w:ascii="Arial" w:hAnsi="Arial"/>
        </w:rPr>
      </w:r>
    </w:p>
    <w:p>
      <w:pPr>
        <w:pStyle w:val="Normal"/>
        <w:numPr>
          <w:ilvl w:val="0"/>
          <w:numId w:val="11"/>
        </w:numPr>
        <w:tabs>
          <w:tab w:val="clear" w:pos="720"/>
          <w:tab w:val="left" w:pos="360" w:leader="none"/>
        </w:tabs>
        <w:ind w:hanging="360" w:start="360" w:end="0"/>
        <w:rPr>
          <w:rFonts w:ascii="Arial" w:hAnsi="Arial" w:cs="Arial"/>
          <w:b/>
        </w:rPr>
      </w:pPr>
      <w:r>
        <w:rPr>
          <w:rFonts w:cs="Arial" w:ascii="Arial" w:hAnsi="Arial"/>
          <w:b/>
        </w:rPr>
        <w:t>Insurance Companies:</w:t>
      </w:r>
    </w:p>
    <w:p>
      <w:pPr>
        <w:pStyle w:val="Normal"/>
        <w:numPr>
          <w:ilvl w:val="0"/>
          <w:numId w:val="14"/>
        </w:numPr>
        <w:tabs>
          <w:tab w:val="clear" w:pos="720"/>
          <w:tab w:val="left" w:pos="1080" w:leader="none"/>
        </w:tabs>
        <w:ind w:hanging="360" w:start="1080" w:end="0"/>
        <w:rPr>
          <w:rFonts w:ascii="Arial" w:hAnsi="Arial" w:cs="Arial"/>
          <w:b/>
        </w:rPr>
      </w:pPr>
      <w:r>
        <w:rPr>
          <w:rFonts w:cs="Arial" w:ascii="Arial" w:hAnsi="Arial"/>
        </w:rPr>
        <w:t xml:space="preserve">Insurance companies will issue insurance contracts based on revenues streams to drilling and E&amp;P companies. The underlying in both types of contracts is dayrates, although it will not be directly stated. </w:t>
      </w:r>
    </w:p>
    <w:p>
      <w:pPr>
        <w:pStyle w:val="Normal"/>
        <w:numPr>
          <w:ilvl w:val="0"/>
          <w:numId w:val="14"/>
        </w:numPr>
        <w:tabs>
          <w:tab w:val="clear" w:pos="720"/>
          <w:tab w:val="left" w:pos="1080" w:leader="none"/>
        </w:tabs>
        <w:ind w:hanging="360" w:start="1080" w:end="0"/>
        <w:rPr>
          <w:rFonts w:ascii="Arial" w:hAnsi="Arial" w:cs="Arial"/>
          <w:b/>
        </w:rPr>
      </w:pPr>
      <w:r>
        <w:rPr>
          <w:rFonts w:cs="Arial" w:ascii="Arial" w:hAnsi="Arial"/>
        </w:rPr>
        <w:t xml:space="preserve">Insurance companies will then assume the basis risk and lay off the remainder with ENA Global Markets. </w:t>
      </w:r>
    </w:p>
    <w:p>
      <w:pPr>
        <w:pStyle w:val="Normal"/>
        <w:numPr>
          <w:ilvl w:val="0"/>
          <w:numId w:val="14"/>
        </w:numPr>
        <w:tabs>
          <w:tab w:val="clear" w:pos="720"/>
          <w:tab w:val="left" w:pos="1080" w:leader="none"/>
        </w:tabs>
        <w:ind w:hanging="360" w:start="1080" w:end="0"/>
        <w:rPr>
          <w:rFonts w:ascii="Arial" w:hAnsi="Arial" w:cs="Arial"/>
          <w:b/>
        </w:rPr>
      </w:pPr>
      <w:r>
        <w:rPr>
          <w:rFonts w:cs="Arial" w:ascii="Arial" w:hAnsi="Arial"/>
        </w:rPr>
        <w:t>Both contracts will both be considered derivatives and with the changes in fair value recorded to income.</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spacing w:lineRule="atLeast" w:line="240"/>
        <w:rPr>
          <w:rFonts w:ascii="Arial" w:hAnsi="Arial" w:cs="Arial"/>
          <w:b/>
          <w:color w:val="000000"/>
          <w:lang w:eastAsia="en-US"/>
        </w:rPr>
      </w:pPr>
      <w:r>
        <w:rPr>
          <w:rFonts w:cs="Arial" w:ascii="Arial" w:hAnsi="Arial"/>
          <w:b/>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6"/>
      <w:numFmt w:val="bullet"/>
      <w:lvlText w:val="-"/>
      <w:lvlJc w:val="start"/>
      <w:pPr>
        <w:tabs>
          <w:tab w:val="num" w:pos="1260"/>
        </w:tabs>
        <w:ind w:start="1260" w:hanging="360"/>
      </w:pPr>
      <w:rPr>
        <w:rFonts w:ascii="Liberation Serif" w:hAnsi="Liberation Serif" w:cs="Liberation Serif" w:hint="default"/>
      </w:rPr>
    </w:lvl>
  </w:abstractNum>
  <w:abstractNum w:abstractNumId="6">
    <w:lvl w:ilvl="0">
      <w:start w:val="1"/>
      <w:numFmt w:val="upperLetter"/>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upperRoman"/>
      <w:lvlText w:val="%1."/>
      <w:lvlJc w:val="start"/>
      <w:pPr>
        <w:tabs>
          <w:tab w:val="num" w:pos="720"/>
        </w:tabs>
        <w:ind w:start="720" w:hanging="720"/>
      </w:p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0"/>
        <w:numId w:val="11"/>
      </w:numPr>
      <w:spacing w:lineRule="atLeast" w:line="240"/>
      <w:outlineLvl w:val="1"/>
    </w:pPr>
    <w:rPr>
      <w:rFonts w:ascii="Helv" w:hAnsi="Helv" w:cs="Helv"/>
      <w:b/>
      <w:color w:val="000000"/>
      <w:lang w:eastAsia="en-US"/>
    </w:rPr>
  </w:style>
  <w:style w:type="paragraph" w:styleId="Heading3">
    <w:name w:val="heading 3"/>
    <w:basedOn w:val="Normal"/>
    <w:next w:val="Normal"/>
    <w:qFormat/>
    <w:pPr>
      <w:keepNext w:val="true"/>
      <w:numPr>
        <w:ilvl w:val="0"/>
        <w:numId w:val="6"/>
      </w:numPr>
      <w:tabs>
        <w:tab w:val="left" w:pos="720" w:leader="none"/>
      </w:tabs>
      <w:spacing w:lineRule="atLeast" w:line="240"/>
      <w:ind w:hanging="0" w:start="720" w:end="0"/>
      <w:outlineLvl w:val="2"/>
    </w:pPr>
    <w:rPr>
      <w:rFonts w:ascii="Arial" w:hAnsi="Arial" w:cs="Arial"/>
      <w:b/>
      <w:color w:val="000000"/>
      <w:lang w:eastAsia="en-US"/>
    </w:rPr>
  </w:style>
  <w:style w:type="character" w:styleId="WW8Num1z0">
    <w:name w:val="WW8Num1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1z0">
    <w:name w:val="WW8Num21z0"/>
    <w:qFormat/>
    <w:rPr/>
  </w:style>
  <w:style w:type="character" w:styleId="WW8Num22z0">
    <w:name w:val="WW8Num22z0"/>
    <w:qFormat/>
    <w:rPr/>
  </w:style>
  <w:style w:type="character" w:styleId="WW8Num26z0">
    <w:name w:val="WW8Num26z0"/>
    <w:qFormat/>
    <w:rPr>
      <w:b/>
    </w:rPr>
  </w:style>
  <w:style w:type="character" w:styleId="WW8Num27z0">
    <w:name w:val="WW8Num27z0"/>
    <w:qFormat/>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hanging="0" w:start="720" w:end="0"/>
    </w:pPr>
    <w:rPr>
      <w:rFonts w:ascii="Helv" w:hAnsi="Helv" w:cs="Helv"/>
      <w:color w:val="000000"/>
      <w:lang w:eastAsia="en-US"/>
    </w:rPr>
  </w:style>
  <w:style w:type="paragraph" w:styleId="BodyTextIndent2">
    <w:name w:val="Body Text Indent 2"/>
    <w:basedOn w:val="Normal"/>
    <w:qFormat/>
    <w:pPr>
      <w:spacing w:lineRule="atLeast" w:line="240"/>
      <w:ind w:hanging="0" w:start="360" w:end="0"/>
    </w:pPr>
    <w:rPr>
      <w:rFonts w:ascii="Arial" w:hAnsi="Arial" w:cs="Arial"/>
      <w:color w:val="000000"/>
      <w:lang w:eastAsia="en-US"/>
    </w:rPr>
  </w:style>
  <w:style w:type="paragraph" w:styleId="BodyTextIndent3">
    <w:name w:val="Body Text Indent 3"/>
    <w:basedOn w:val="Normal"/>
    <w:qFormat/>
    <w:pPr>
      <w:ind w:hanging="0" w:start="360" w:end="0"/>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2000-10-19T12:38:00Z</dcterms:created>
  <dc:creator>kate lykes</dc:creator>
  <dc:description/>
  <dc:language>en-CA</dc:language>
  <cp:lastModifiedBy>kate lykes</cp:lastModifiedBy>
  <cp:lastPrinted>2000-10-24T17:45:00Z</cp:lastPrinted>
  <dcterms:modified xsi:type="dcterms:W3CDTF">2000-10-24T20:47:00Z</dcterms:modified>
  <cp:revision>90</cp:revision>
  <dc:subject/>
  <dc:title>FAS 133 SUMMARY</dc:title>
</cp:coreProperties>
</file>