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Global Finance Summary (addendum to DASH)</w:t>
      </w:r>
    </w:p>
    <w:p>
      <w:pPr>
        <w:pStyle w:val="Normal"/>
        <w:jc w:val="end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</w:rPr>
      </w:pPr>
      <w:r>
        <w:rPr/>
        <w:t>Transaction Summary</w:t>
        <w:br/>
      </w:r>
    </w:p>
    <w:tbl>
      <w:tblPr>
        <w:tblW w:w="990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650"/>
        <w:gridCol w:w="2250"/>
      </w:tblGrid>
      <w:tr>
        <w:trPr/>
        <w:tc>
          <w:tcPr>
            <w:tcW w:w="76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Amount ($000s)</w:t>
            </w:r>
          </w:p>
        </w:tc>
      </w:tr>
      <w:tr>
        <w:trPr/>
        <w:tc>
          <w:tcPr>
            <w:tcW w:w="76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 Deal/Project Capital Commitment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$17,100</w:t>
            </w:r>
          </w:p>
        </w:tc>
      </w:tr>
      <w:tr>
        <w:trPr/>
        <w:tc>
          <w:tcPr>
            <w:tcW w:w="76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Less: Financing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6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Less: Syndications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76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Net Enron Investment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$17,100</w:t>
            </w:r>
          </w:p>
        </w:tc>
      </w:tr>
      <w:tr>
        <w:trPr>
          <w:trHeight w:val="60" w:hRule="exact"/>
        </w:trPr>
        <w:tc>
          <w:tcPr>
            <w:tcW w:w="76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" w:hRule="exact"/>
        </w:trPr>
        <w:tc>
          <w:tcPr>
            <w:tcW w:w="76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br/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  <w:b/>
        </w:rPr>
        <w:t>Investment terms and pricing:</w:t>
      </w: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Market</w:t>
      </w:r>
      <w:r>
        <w:rPr>
          <w:rFonts w:cs="Arial" w:ascii="Arial" w:hAnsi="Arial"/>
        </w:rPr>
        <w:t xml:space="preserve"> </w:t>
        <w:br/>
        <w:br/>
        <w:t>Describe (if necessary):</w:t>
        <w:br/>
        <w:br/>
        <w:br/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  <w:b/>
        </w:rPr>
        <w:t>Financing terms and pricing:</w:t>
      </w: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Market</w:t>
      </w:r>
      <w:r>
        <w:rPr>
          <w:rFonts w:cs="Arial" w:ascii="Arial" w:hAnsi="Arial"/>
        </w:rPr>
        <w:t xml:space="preserve"> </w:t>
        <w:br/>
        <w:br/>
        <w:t>Describe (if necessary):</w:t>
        <w:br/>
        <w:br/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  <w:b/>
        </w:rPr>
        <w:t>Legal or practical liquidity restrictions: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Unrestricted</w:t>
      </w:r>
      <w:r>
        <w:rPr>
          <w:rFonts w:cs="Arial" w:ascii="Arial" w:hAnsi="Arial"/>
        </w:rPr>
        <w:t xml:space="preserve"> </w:t>
        <w:br/>
      </w:r>
    </w:p>
    <w:p>
      <w:pPr>
        <w:pStyle w:val="Normal"/>
        <w:ind w:firstLine="360" w:end="0"/>
        <w:rPr>
          <w:rFonts w:ascii="Arial" w:hAnsi="Arial" w:cs="Arial"/>
        </w:rPr>
      </w:pPr>
      <w:r>
        <w:rPr>
          <w:rFonts w:cs="Arial" w:ascii="Arial" w:hAnsi="Arial"/>
        </w:rPr>
        <w:t>Describe (if necessary):</w:t>
        <w:br/>
        <w:br/>
        <w:br/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  <w:b/>
        </w:rPr>
        <w:t>Any recourse to Enron (other than investment):</w:t>
      </w: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 xml:space="preserve">Recourse </w:t>
      </w:r>
      <w:r>
        <w:rPr>
          <w:rFonts w:cs="Arial" w:ascii="Arial" w:hAnsi="Arial"/>
        </w:rPr>
        <w:br/>
        <w:br/>
        <w:t>Describe (if any):  $ 200.0 million corporate guarantee to support EBS obligations under agreement and consequential damages brought against Microsoft by third parties.</w:t>
        <w:br/>
        <w:br/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  <w:b/>
        </w:rPr>
        <w:t>Business unit intent to syndicate:</w:t>
      </w: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None</w:t>
      </w:r>
      <w:r>
        <w:rPr>
          <w:rFonts w:cs="Arial" w:ascii="Arial" w:hAnsi="Arial"/>
        </w:rPr>
        <w:t xml:space="preserve"> </w:t>
        <w:br/>
        <w:br/>
        <w:t>Describe (if necessary):</w:t>
        <w:br/>
        <w:br/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  <w:b/>
        </w:rPr>
        <w:t>Intended Enron hold period:</w:t>
        <w:tab/>
        <w:tab/>
        <w:tab/>
        <w:t>Strategic deal with five year term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  <w:b/>
        </w:rPr>
        <w:t>Likely Syndication Market:</w:t>
      </w:r>
      <w:r>
        <w:rPr/>
        <w:tab/>
      </w:r>
    </w:p>
    <w:tbl>
      <w:tblPr>
        <w:tblW w:w="655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3"/>
        <w:gridCol w:w="2750"/>
        <w:gridCol w:w="526"/>
        <w:gridCol w:w="2750"/>
      </w:tblGrid>
      <w:tr>
        <w:trPr/>
        <w:tc>
          <w:tcPr>
            <w:tcW w:w="5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Industry/Strategic Partner</w:t>
            </w:r>
          </w:p>
        </w:tc>
        <w:tc>
          <w:tcPr>
            <w:tcW w:w="526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Direct Private Equity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Capital Markets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JEDI 1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JEDI 2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EnSerCo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LJM 1 or 2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Condor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Other: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Margaux</w:t>
            </w:r>
          </w:p>
        </w:tc>
      </w:tr>
    </w:tbl>
    <w:p>
      <w:pPr>
        <w:pStyle w:val="Normal"/>
        <w:tabs>
          <w:tab w:val="left" w:pos="720" w:leader="none"/>
        </w:tabs>
        <w:ind w:start="360" w:end="0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ab/>
        <w:tab/>
      </w:r>
    </w:p>
    <w:p>
      <w:pPr>
        <w:pStyle w:val="Normal"/>
        <w:tabs>
          <w:tab w:val="clear" w:pos="720"/>
          <w:tab w:val="left" w:pos="4320" w:leader="none"/>
        </w:tabs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ab/>
        <w:tab/>
        <w:tab/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  <w:b/>
        </w:rPr>
        <w:t>Is this a JEDI 2 “Qualified Investment”?</w:t>
      </w: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No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2970"/>
        <w:gridCol w:w="2880"/>
        <w:gridCol w:w="1512"/>
      </w:tblGrid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Function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Signature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Name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</w:t>
            </w:r>
          </w:p>
        </w:tc>
      </w:tr>
      <w:tr>
        <w:trPr>
          <w:trHeight w:val="314" w:hRule="atLeast"/>
        </w:trPr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Representative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Kevin Howard</w:t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50" w:hRule="atLeast"/>
        </w:trPr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Legal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900" w:right="1080" w:gutter="0" w:header="720" w:top="776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0170" w:leader="none"/>
      </w:tabs>
      <w:rPr/>
    </w:pPr>
    <w:r>
      <w:rPr/>
      <w:t>RAC Deal Approval Sheet</w:t>
      <w:tab/>
      <w:tab/>
      <w:t>Deal Name – Microsoft Delivery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35"/>
        </w:tabs>
        <w:ind w:start="735" w:hanging="735"/>
      </w:pPr>
      <w:rPr>
        <w:i w:val="false"/>
        <w:b w:val="false"/>
      </w:rPr>
    </w:lvl>
  </w:abstractNum>
  <w:abstractNum w:abstractNumId="3">
    <w:lvl w:ilvl="0">
      <w:start w:val="6"/>
      <w:numFmt w:val="decimal"/>
      <w:lvlText w:val="%1c."/>
      <w:lvlJc w:val="start"/>
      <w:pPr>
        <w:tabs>
          <w:tab w:val="num" w:pos="360"/>
        </w:tabs>
        <w:ind w:start="360" w:hanging="360"/>
      </w:pPr>
      <w:rPr>
        <w:i w:val="false"/>
        <w:b w:val="false"/>
      </w:rPr>
    </w:lvl>
  </w:abstractNum>
  <w:abstractNum w:abstractNumId="4">
    <w:lvl w:ilvl="0">
      <w:start w:val="6"/>
      <w:numFmt w:val="decimal"/>
      <w:lvlText w:val="%1a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6"/>
      <w:numFmt w:val="decimal"/>
      <w:lvlText w:val="%1d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6"/>
      <w:numFmt w:val="decimal"/>
      <w:lvlText w:val="%1b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character" w:styleId="WW8Num1z0">
    <w:name w:val="WW8Num1z0"/>
    <w:qFormat/>
    <w:rPr>
      <w:b w:val="false"/>
      <w:i w:val="false"/>
    </w:rPr>
  </w:style>
  <w:style w:type="character" w:styleId="WW8Num2z0">
    <w:name w:val="WW8Num2z0"/>
    <w:qFormat/>
    <w:rPr>
      <w:b w:val="false"/>
      <w:i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2001-06-26T09:56:00Z</dcterms:created>
  <dc:creator>david_crews</dc:creator>
  <dc:description/>
  <dc:language>en-CA</dc:language>
  <cp:lastModifiedBy>david_crews</cp:lastModifiedBy>
  <cp:lastPrinted>2001-06-26T07:36:00Z</cp:lastPrinted>
  <dcterms:modified xsi:type="dcterms:W3CDTF">2001-06-26T11:24:00Z</dcterms:modified>
  <cp:revision>2</cp:revision>
  <dc:subject/>
  <dc:title>Global Finance Summary (addendum to DASH)</dc:title>
</cp:coreProperties>
</file>