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Cilia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Accounting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Goodwill Exposure Draft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 attended the FASB meeting yesterday where rediliberations over the Business Combinations Exposure Draft regarding goodwill began.  The Staff reported to the board the results of 185 response letters received.  The recurring comments included the following main issues that the Board was asked to address:</w:t>
      </w:r>
    </w:p>
    <w:p>
      <w:pPr>
        <w:pStyle w:val="Body"/>
        <w:rPr/>
      </w:pPr>
      <w:r>
        <w:rPr/>
      </w:r>
    </w:p>
    <w:p>
      <w:pPr>
        <w:pStyle w:val="Body"/>
        <w:numPr>
          <w:ilvl w:val="0"/>
          <w:numId w:val="2"/>
        </w:numPr>
        <w:rPr/>
      </w:pPr>
      <w:r>
        <w:rPr/>
        <w:t>The reporting units as defined were at too low of a level in the company and would create hundreds and even thousands of repoerting units for some companies.</w:t>
      </w:r>
    </w:p>
    <w:p>
      <w:pPr>
        <w:pStyle w:val="Body"/>
        <w:numPr>
          <w:ilvl w:val="0"/>
          <w:numId w:val="2"/>
        </w:numPr>
        <w:rPr/>
      </w:pPr>
      <w:r>
        <w:rPr/>
        <w:t>The benchmark assessment requirements were too detailed.</w:t>
      </w:r>
    </w:p>
    <w:p>
      <w:pPr>
        <w:pStyle w:val="Body"/>
        <w:numPr>
          <w:ilvl w:val="0"/>
          <w:numId w:val="2"/>
        </w:numPr>
        <w:rPr/>
      </w:pPr>
      <w:r>
        <w:rPr/>
        <w:t>The impairment test was too burdensome and subjective.</w:t>
      </w:r>
    </w:p>
    <w:p>
      <w:pPr>
        <w:pStyle w:val="Body"/>
        <w:numPr>
          <w:ilvl w:val="0"/>
          <w:numId w:val="2"/>
        </w:numPr>
        <w:rPr/>
      </w:pPr>
      <w:r>
        <w:rPr/>
        <w:t>Companies need more time to implement the standard.</w:t>
      </w:r>
    </w:p>
    <w:p>
      <w:pPr>
        <w:pStyle w:val="Body"/>
        <w:numPr>
          <w:ilvl w:val="0"/>
          <w:numId w:val="2"/>
        </w:numPr>
        <w:rPr/>
      </w:pPr>
      <w:r>
        <w:rPr/>
        <w:t>The definition of identifiable intangible asset needs further clarification.</w:t>
      </w:r>
    </w:p>
    <w:p>
      <w:pPr>
        <w:pStyle w:val="Body"/>
        <w:numPr>
          <w:ilvl w:val="0"/>
          <w:numId w:val="2"/>
        </w:numPr>
        <w:rPr/>
      </w:pPr>
      <w:r>
        <w:rPr/>
        <w:t>The disclosure requirements were onerous and could require a company to divulge confidential information to competitors.</w:t>
      </w:r>
    </w:p>
    <w:p>
      <w:pPr>
        <w:pStyle w:val="Body"/>
        <w:rPr/>
      </w:pPr>
      <w:r>
        <w:rPr/>
      </w:r>
    </w:p>
    <w:p>
      <w:pPr>
        <w:pStyle w:val="Body"/>
        <w:rPr/>
      </w:pPr>
      <w:r>
        <w:rPr/>
        <w:t>In yesterday’s meeting the Board addressed issues 1, 3, 5 and 6.  The following is a summary of the conclusions reached:</w:t>
      </w:r>
    </w:p>
    <w:p>
      <w:pPr>
        <w:pStyle w:val="Body"/>
        <w:rPr/>
      </w:pPr>
      <w:r>
        <w:rPr/>
      </w:r>
    </w:p>
    <w:p>
      <w:pPr>
        <w:pStyle w:val="Body"/>
        <w:rPr>
          <w:b/>
          <w:bCs/>
          <w:u w:val="single"/>
        </w:rPr>
      </w:pPr>
      <w:r>
        <w:rPr>
          <w:b/>
          <w:bCs/>
          <w:u w:val="single"/>
        </w:rPr>
        <w:t>Issue 1 – Reporting Unit Definition</w:t>
      </w:r>
    </w:p>
    <w:p>
      <w:pPr>
        <w:pStyle w:val="Body"/>
        <w:rPr>
          <w:b/>
          <w:bCs/>
          <w:u w:val="single"/>
        </w:rPr>
      </w:pPr>
      <w:r>
        <w:rPr>
          <w:b/>
          <w:bCs/>
          <w:u w:val="single"/>
        </w:rPr>
      </w:r>
    </w:p>
    <w:p>
      <w:pPr>
        <w:pStyle w:val="Body"/>
        <w:rPr/>
      </w:pPr>
      <w:r>
        <w:rPr/>
        <w:t>The Board concluded that reporting units will be defined the same as operating segments under SFAS 131 or one level below operating segments.  The Staff was given the directive to make recommendations for determining when it is appropriate to use a level below the operating segment and present these recommendations at a future meeting.  It was suggested that the Staff consider requiring the use of a level lower than the operating segment if such level is a discrete unit and has economic characteristics different from the other components of the operating segment or if the fair value measurement of the operating segment would be the result of aggregating the fair value measurements of one level below the operating segment.  Based on these recommendations, we could be required to go one level lower than Wholesale to Enron Americas, Global Markets, Industrial Markets, etc., but the overall conclusion is clearly favorable.</w:t>
      </w:r>
    </w:p>
    <w:p>
      <w:pPr>
        <w:pStyle w:val="Body"/>
        <w:rPr/>
      </w:pPr>
      <w:r>
        <w:rPr/>
      </w:r>
    </w:p>
    <w:p>
      <w:pPr>
        <w:pStyle w:val="Body"/>
        <w:rPr>
          <w:b/>
          <w:bCs/>
          <w:u w:val="single"/>
        </w:rPr>
      </w:pPr>
      <w:r>
        <w:rPr>
          <w:b/>
          <w:bCs/>
          <w:u w:val="single"/>
        </w:rPr>
        <w:t>Issue 3 – Impairment Test</w:t>
      </w:r>
    </w:p>
    <w:p>
      <w:pPr>
        <w:pStyle w:val="Body"/>
        <w:rPr>
          <w:b/>
          <w:bCs/>
          <w:u w:val="single"/>
        </w:rPr>
      </w:pPr>
      <w:r>
        <w:rPr>
          <w:b/>
          <w:bCs/>
          <w:u w:val="single"/>
        </w:rPr>
      </w:r>
    </w:p>
    <w:p>
      <w:pPr>
        <w:pStyle w:val="Body"/>
        <w:rPr/>
      </w:pPr>
      <w:r>
        <w:rPr/>
        <w:t>The staff concluded that the impairment test should be changed to a two step approach, whereby no impairment test would be necessary as long as the total fair value of the reporting unit exceeds the book value of the reporting unit.  This was already the case when benchmark assessments were required to be performed, but was not the case when you were testing for impairment of a reporting unit due to an impairment indicator.</w:t>
      </w:r>
    </w:p>
    <w:p>
      <w:pPr>
        <w:pStyle w:val="Body"/>
        <w:rPr/>
      </w:pPr>
      <w:r>
        <w:rPr/>
      </w:r>
    </w:p>
    <w:p>
      <w:pPr>
        <w:pStyle w:val="Body"/>
        <w:rPr/>
      </w:pPr>
      <w:r>
        <w:rPr/>
        <w:t>If the total fair value of the reporting unit does not exceed the book value, then an impairment test will be performed using a hypothetical purchase price allocation.  Value must be assigned in such allocation to both recognized and unrecognized intangible assets.  As discussed in Issue 5 below, the Board believes that the new standard will define the types of intangible assets that should be assigned value in an acquisition and these same types of intangibles should be assigned value in the hypothetical purchase price allocation performed for the impairment test.  For instance, the Board believes that a customer contract represents an identifiable intangible asset that must be valued and recognized in an acquisition.  Subsequent to the acquisition, the company will presumably enter into new contracts whose value will not be recognized on the books (unless fair value contracts).  In the hypothetical purchase price allocation, value must be assigned to these contracts in determining the fair value of the net assets of the company.  The hypothetical purchase price allocation is performed for the purposes of the impairment test only and is not intended to be a newly recorded basis on the books.</w:t>
      </w:r>
    </w:p>
    <w:p>
      <w:pPr>
        <w:pStyle w:val="Body"/>
        <w:rPr/>
      </w:pPr>
      <w:r>
        <w:rPr/>
      </w:r>
    </w:p>
    <w:p>
      <w:pPr>
        <w:pStyle w:val="Body"/>
        <w:rPr/>
      </w:pPr>
      <w:r>
        <w:rPr/>
        <w:t>The hypothetical purchase price allocation is more onerous than the method outlined in the current revised exposure draft in that it requires allocation of fair value to unrecognized assets which will result in a lower fair value of goodwill to be compared to the book value of goodwill when determining the amount, if any, of impairment.</w:t>
      </w:r>
    </w:p>
    <w:p>
      <w:pPr>
        <w:pStyle w:val="Body"/>
        <w:rPr/>
      </w:pPr>
      <w:r>
        <w:rPr/>
      </w:r>
    </w:p>
    <w:p>
      <w:pPr>
        <w:pStyle w:val="Body"/>
        <w:rPr>
          <w:b/>
          <w:bCs/>
          <w:u w:val="single"/>
        </w:rPr>
      </w:pPr>
      <w:r>
        <w:rPr>
          <w:b/>
          <w:bCs/>
          <w:u w:val="single"/>
        </w:rPr>
        <w:t>Issue 5 – Definition of Identifiable Intangible Asset</w:t>
      </w:r>
    </w:p>
    <w:p>
      <w:pPr>
        <w:pStyle w:val="Body"/>
        <w:rPr>
          <w:b/>
          <w:bCs/>
          <w:u w:val="single"/>
        </w:rPr>
      </w:pPr>
      <w:r>
        <w:rPr>
          <w:b/>
          <w:bCs/>
          <w:u w:val="single"/>
        </w:rPr>
      </w:r>
    </w:p>
    <w:p>
      <w:pPr>
        <w:pStyle w:val="Body"/>
        <w:rPr/>
      </w:pPr>
      <w:r>
        <w:rPr/>
        <w:t>In the response letters received, the Board was asked to further clarify its definition of identifiable intangible assets specifically with regard to customer related intangibles.  The Board concluded that customer lists, customer contracts and order backlogs represented identifiable intangible assets that must be valued and recorded in an acquisition under the theory of paragraph 5(a) in the revised exposure draft that these represent contractual and legal rights.  The Board further concluded that the value assigned to a customer contract should represent the value of the contract itself as well as the value of the customer relationship.  The Board will continue to consider whether or not value should be assigned to the expected ability to generate future revenues from a customer contract.  The Board was split on whether or not they wanted to actually go to this level of detail in the final standard.  Some argued that this level of detail would be useful and should be included and others believed that outlining this level of detail would lead companies to believe that these were the only elements that needed to be valued.  Further recommendations from the staff and deliberations by the Board are expected on these issues.</w:t>
      </w:r>
    </w:p>
    <w:p>
      <w:pPr>
        <w:pStyle w:val="Body"/>
        <w:rPr/>
      </w:pPr>
      <w:r>
        <w:rPr/>
      </w:r>
    </w:p>
    <w:p>
      <w:pPr>
        <w:pStyle w:val="Body"/>
        <w:rPr/>
      </w:pPr>
      <w:r>
        <w:rPr/>
        <w:t>The Board also discussed non-contractual customer relationships as they relate to paragraph 5(b) of the revised exposure draft which requires recognition of an intangible asset if the asset can be separated or divided and sold.  The current draft requires that such an asset be recognized regardless of the entity’s intent to sell or if there is a market available to sell the asset and requires recognition if the asset cannot be sold by itself, but can be sold with a group of related assets or liabilities.  The Staff recommended that the Board delete the requirement to recognize an intangible asset if there is no market and to add the stipulation that an intangible asset under 5(b) is only recognized if there is an observable market (outside of business acquisitions) for such asset.  The Board was also split on this issue.  Some believed that 5(b) was only intended to capture a small population of intangibles and that an observable market was a good indicator of whether or not an intangible should be recognized under this concept.  These members believed that the majority of intangibles will be captured under paragraph 5(a) which relies on a legal or contractual right regardless of whether or not there is a market for the asset.  Others believed that 5(b) was intended to capture a larger population of intangible assets and that the inclusion of the observable market theory would provide an “out” for companies.  These members believed that companies would always use the excuse that there is no observable market and therefore they do not need to record an intangible asset and amortize it.  All members agreed with the concepts that they wanted to embody and the main disagreement reagrded the specific wording.  The Staff was asked to contemplate these comments by the Board and make further recommendations on wording at a future meeting.</w:t>
      </w:r>
    </w:p>
    <w:p>
      <w:pPr>
        <w:pStyle w:val="Body"/>
        <w:rPr/>
      </w:pPr>
      <w:r>
        <w:rPr/>
      </w:r>
    </w:p>
    <w:p>
      <w:pPr>
        <w:pStyle w:val="Body"/>
        <w:rPr/>
      </w:pPr>
      <w:r>
        <w:rPr/>
        <w:t>The Board concluded that a customer base that consists of several retail customers where you don’t track information about the individual customers and no actual relationship exists does not constitute a recognizable intangible asset.</w:t>
      </w:r>
    </w:p>
    <w:p>
      <w:pPr>
        <w:pStyle w:val="Body"/>
        <w:rPr/>
      </w:pPr>
      <w:r>
        <w:rPr/>
      </w:r>
    </w:p>
    <w:p>
      <w:pPr>
        <w:pStyle w:val="Body"/>
        <w:rPr/>
      </w:pPr>
      <w:r>
        <w:rPr/>
        <w:t>The Board also concluded that if a company currently reported identifiable intangible assets related to previous business acquisitions that do not meet the criteria under the new standard, these amounts should be reclassified to goodwill.  The Board also specified that if a company currently had recognized identifiable intangible assets related to previous business acquisitions that had been identified but were reported as goodwill, these assets should be resported separately.  The Board was very clear that this did not mean that companies would be required to review the goodwill recorded on previous business acquisitions to determine if there were identifiable intangible assets that would have been recorded had the new standard been in place when the acquisition was made.  Any of these intangible assets that have been subsumed in goodwill would remain in goodwill and tested for impairment under the new rules.  It is only those assets that were recognized as separate identifiable intangibles at the time of acquisition but were reported in the goodwill lines that must be separated.</w:t>
      </w:r>
    </w:p>
    <w:p>
      <w:pPr>
        <w:pStyle w:val="Body"/>
        <w:rPr/>
      </w:pPr>
      <w:r>
        <w:rPr/>
      </w:r>
    </w:p>
    <w:p>
      <w:pPr>
        <w:pStyle w:val="Body"/>
        <w:rPr>
          <w:b/>
          <w:bCs/>
          <w:u w:val="single"/>
        </w:rPr>
      </w:pPr>
      <w:r>
        <w:rPr>
          <w:b/>
          <w:bCs/>
          <w:u w:val="single"/>
        </w:rPr>
        <w:t>Issue 6 – Disclosure</w:t>
      </w:r>
    </w:p>
    <w:p>
      <w:pPr>
        <w:pStyle w:val="Body"/>
        <w:rPr>
          <w:b/>
          <w:bCs/>
          <w:u w:val="single"/>
        </w:rPr>
      </w:pPr>
      <w:r>
        <w:rPr>
          <w:b/>
          <w:bCs/>
          <w:u w:val="single"/>
        </w:rPr>
      </w:r>
    </w:p>
    <w:p>
      <w:pPr>
        <w:pStyle w:val="Body"/>
        <w:rPr/>
      </w:pPr>
      <w:r>
        <w:rPr/>
        <w:t>The Board concluded that the disclosure requirements were not onerous and would remain substantially as outlined in the revised exposure draft.  Some small revisions will be made to further clarify certain concerns.  The Board believed that some respondents may have misinterpreted the disclosures required for acquisitions.  The Board believes that the disclosure requirements outlined in the revised exposure draft do not require any significant additional disclosure beyond what most respondents currently disclose in press releases related to their acquisitions.</w:t>
      </w:r>
    </w:p>
    <w:p>
      <w:pPr>
        <w:pStyle w:val="Body"/>
        <w:rPr/>
      </w:pPr>
      <w:r>
        <w:rPr/>
      </w:r>
    </w:p>
    <w:p>
      <w:pPr>
        <w:pStyle w:val="Body"/>
        <w:rPr/>
      </w:pPr>
      <w:r>
        <w:rPr/>
        <w:t>The Board anticipates another major session on the exposure draft on May 2 and may also have discussions at the April 25 meeting.</w:t>
      </w:r>
    </w:p>
    <w:p>
      <w:pPr>
        <w:pStyle w:val="Body"/>
        <w:rPr/>
      </w:pPr>
      <w:r>
        <w:rPr/>
      </w:r>
    </w:p>
    <w:p>
      <w:pPr>
        <w:pStyle w:val="CopyList"/>
        <w:ind w:hanging="0"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2001-04-12T11:43:00Z</dcterms:created>
  <dc:creator>mcilia</dc:creator>
  <dc:description/>
  <dc:language>en-CA</dc:language>
  <cp:lastModifiedBy>mcilia</cp:lastModifiedBy>
  <dcterms:modified xsi:type="dcterms:W3CDTF">2001-04-12T14:17:00Z</dcterms:modified>
  <cp:revision>10</cp:revision>
  <dc:subject/>
  <dc:title>Better, Faster, Simpler Memo </dc:title>
</cp:coreProperties>
</file>