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360"/>
        <w:jc w:val="end"/>
        <w:rPr>
          <w:sz w:val="44"/>
          <w:lang w:val="en-CA" w:eastAsia="en-CA"/>
        </w:rPr>
      </w:pPr>
      <w:r>
        <w:rPr>
          <w:sz w:val="44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226060</wp:posOffset>
            </wp:positionH>
            <wp:positionV relativeFrom="paragraph">
              <wp:posOffset>88265</wp:posOffset>
            </wp:positionV>
            <wp:extent cx="914400" cy="914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ind w:end="-360"/>
        <w:jc w:val="end"/>
        <w:rPr>
          <w:caps/>
          <w:sz w:val="40"/>
        </w:rPr>
      </w:pPr>
      <w:r>
        <w:rPr>
          <w:caps/>
          <w:sz w:val="40"/>
        </w:rPr>
        <w:t xml:space="preserve">Frequently Asked Questions </w:t>
      </w:r>
    </w:p>
    <w:p>
      <w:pPr>
        <w:pStyle w:val="Normal"/>
        <w:rPr>
          <w:caps/>
          <w:sz w:val="24"/>
        </w:rPr>
      </w:pPr>
      <w:r>
        <w:rPr>
          <w:cap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Enron Global Markets – Emissions Trading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What are emissions allowances?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Why should companies consider trading their emissions allowance?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How does emissions trading help control air pollutants and clean up the environment?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  <w:szCs w:val="16"/>
        </w:rPr>
        <w:t xml:space="preserve">Is emission trading a more cost-effective way to comply with environmental regulations?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What emissions trading options are available to U.S. companies?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</w:rPr>
        <w:t>When is the right time to sell emission allowances or hold in reserve?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</w:rPr>
        <w:t>When buying allowances, does Enron ensure competitive pricing?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</w:rPr>
        <w:t>How does trading emissions with Enron provide companies flexibility to manage their revenue flow and strengthen their position in a competitive marketplace?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  <w:szCs w:val="16"/>
        </w:rPr>
        <w:t>How many transactions has Enron completed?  How many transactions industry wide?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  <w:szCs w:val="16"/>
        </w:rPr>
        <w:t>Do companies pay a commission or fee when buying and selling emissions allowances?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</w:rPr>
        <w:t>Can companies exchange physical commodities for emission allowances?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4"/>
        </w:rPr>
      </w:pPr>
      <w:r>
        <w:rPr>
          <w:sz w:val="24"/>
        </w:rPr>
        <w:t>How can companies gain up front cash flow when selling allowances?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tabs>
          <w:tab w:val="clear" w:pos="720"/>
          <w:tab w:val="left" w:pos="360" w:leader="none"/>
        </w:tabs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# # #</w:t>
      </w:r>
    </w:p>
    <w:sectPr>
      <w:type w:val="nextPage"/>
      <w:pgSz w:w="12240" w:h="15840"/>
      <w:pgMar w:left="1440" w:right="1440" w:gutter="0" w:header="0" w:top="540" w:footer="0" w:bottom="144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pPr>
      <w:autoSpaceDE w:val="false"/>
    </w:pPr>
    <w:rPr>
      <w:sz w:val="24"/>
      <w:szCs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sz w:val="23"/>
      <w:szCs w:val="2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2001-09-18T17:54:00Z</dcterms:created>
  <dc:creator>bflores</dc:creator>
  <dc:description/>
  <dc:language>en-CA</dc:language>
  <cp:lastModifiedBy>hewing</cp:lastModifiedBy>
  <cp:lastPrinted>2001-07-18T10:49:00Z</cp:lastPrinted>
  <dcterms:modified xsi:type="dcterms:W3CDTF">2001-09-18T17:54:00Z</dcterms:modified>
  <cp:revision>2</cp:revision>
  <dc:subject/>
  <dc:title>Frequently Asked Questions </dc:title>
</cp:coreProperties>
</file>