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FACILITIES CONSTRUCTION AGREEMENT </w:t>
      </w:r>
    </w:p>
    <w:p>
      <w:pPr>
        <w:pStyle w:val="Heading"/>
        <w:rPr/>
      </w:pPr>
      <w:r>
        <w:rPr/>
        <w:t>(Incremental Collection Facilities)</w:t>
      </w:r>
    </w:p>
    <w:p>
      <w:pPr>
        <w:pStyle w:val="Normal"/>
        <w:jc w:val="center"/>
        <w:rPr>
          <w:b/>
          <w:sz w:val="24"/>
        </w:rPr>
      </w:pPr>
      <w:r>
        <w:rPr>
          <w:b/>
          <w:sz w:val="24"/>
        </w:rPr>
      </w:r>
    </w:p>
    <w:p>
      <w:pPr>
        <w:pStyle w:val="Normal"/>
        <w:jc w:val="center"/>
        <w:rPr>
          <w:b/>
          <w:sz w:val="24"/>
        </w:rPr>
      </w:pPr>
      <w:r>
        <w:rPr>
          <w:b/>
          <w:sz w:val="24"/>
        </w:rPr>
      </w:r>
    </w:p>
    <w:p>
      <w:pPr>
        <w:pStyle w:val="Normal"/>
        <w:jc w:val="both"/>
        <w:rPr/>
      </w:pPr>
      <w:r>
        <w:rPr>
          <w:sz w:val="24"/>
        </w:rPr>
        <w:tab/>
        <w:t>This Facilities Construction Agreement (this "</w:t>
      </w:r>
      <w:r>
        <w:rPr>
          <w:sz w:val="24"/>
          <w:u w:val="single"/>
        </w:rPr>
        <w:t>Agreement</w:t>
      </w:r>
      <w:r>
        <w:rPr>
          <w:sz w:val="24"/>
        </w:rPr>
        <w:t>"), is entered into and made effective this March 1, 2000 (the "</w:t>
      </w:r>
      <w:r>
        <w:rPr>
          <w:sz w:val="24"/>
          <w:u w:val="single"/>
        </w:rPr>
        <w:t>Effective Date</w:t>
      </w:r>
      <w:r>
        <w:rPr>
          <w:sz w:val="24"/>
        </w:rPr>
        <w:t>"), between Sapphire Bay, L.L.C.,</w:t>
      </w:r>
      <w:r>
        <w:rPr>
          <w:b/>
          <w:sz w:val="24"/>
        </w:rPr>
        <w:t xml:space="preserve"> </w:t>
      </w:r>
      <w:r>
        <w:rPr>
          <w:sz w:val="24"/>
        </w:rPr>
        <w:t>a Delaware limited liability company ("</w:t>
      </w:r>
      <w:r>
        <w:rPr>
          <w:sz w:val="24"/>
          <w:u w:val="single"/>
        </w:rPr>
        <w:t>SBLLC</w:t>
      </w:r>
      <w:r>
        <w:rPr>
          <w:sz w:val="24"/>
        </w:rPr>
        <w:t>") and Independent Production Company, Inc. ("</w:t>
      </w:r>
      <w:r>
        <w:rPr>
          <w:sz w:val="24"/>
          <w:u w:val="single"/>
        </w:rPr>
        <w:t>Independent</w:t>
      </w:r>
      <w:r>
        <w:rPr>
          <w:sz w:val="24"/>
        </w:rPr>
        <w:t>") (SBLLC and Independent are each referred to as a "</w:t>
      </w:r>
      <w:r>
        <w:rPr>
          <w:sz w:val="24"/>
          <w:u w:val="single"/>
        </w:rPr>
        <w:t>Party</w:t>
      </w:r>
      <w:r>
        <w:rPr>
          <w:sz w:val="24"/>
        </w:rPr>
        <w:t>" and collectively as the "</w:t>
      </w:r>
      <w:r>
        <w:rPr>
          <w:sz w:val="24"/>
          <w:u w:val="single"/>
        </w:rPr>
        <w:t>Parties</w:t>
      </w:r>
      <w:r>
        <w:rPr>
          <w:sz w:val="24"/>
        </w:rPr>
        <w:t>").</w:t>
      </w:r>
    </w:p>
    <w:p>
      <w:pPr>
        <w:pStyle w:val="Normal"/>
        <w:jc w:val="both"/>
        <w:rPr>
          <w:sz w:val="24"/>
        </w:rPr>
      </w:pPr>
      <w:r>
        <w:rPr>
          <w:sz w:val="24"/>
        </w:rPr>
      </w:r>
    </w:p>
    <w:p>
      <w:pPr>
        <w:pStyle w:val="Normal"/>
        <w:jc w:val="center"/>
        <w:rPr/>
      </w:pPr>
      <w:r>
        <w:rPr>
          <w:b/>
          <w:sz w:val="24"/>
          <w:u w:val="single"/>
        </w:rPr>
        <w:t>W I T N E S S E T H</w:t>
      </w:r>
      <w:r>
        <w:rPr>
          <w:b/>
          <w:sz w:val="24"/>
        </w:rPr>
        <w:t>:</w:t>
      </w:r>
    </w:p>
    <w:p>
      <w:pPr>
        <w:pStyle w:val="Normal"/>
        <w:jc w:val="center"/>
        <w:rPr>
          <w:b/>
          <w:sz w:val="24"/>
        </w:rPr>
      </w:pPr>
      <w:r>
        <w:rPr>
          <w:b/>
          <w:sz w:val="24"/>
        </w:rPr>
      </w:r>
    </w:p>
    <w:p>
      <w:pPr>
        <w:pStyle w:val="Normal"/>
        <w:jc w:val="both"/>
        <w:rPr/>
      </w:pPr>
      <w:r>
        <w:rPr>
          <w:b/>
          <w:sz w:val="24"/>
        </w:rPr>
        <w:tab/>
        <w:t>WHEREAS</w:t>
      </w:r>
      <w:r>
        <w:rPr>
          <w:sz w:val="24"/>
        </w:rPr>
        <w:t>, SBLLC owns or controls certain coal bed methane reserves in the Pronghorn Creek Area of the Powder River Basin in Wyoming (the "</w:t>
      </w:r>
      <w:r>
        <w:rPr>
          <w:sz w:val="24"/>
          <w:u w:val="single"/>
        </w:rPr>
        <w:t>Reserves</w:t>
      </w:r>
      <w:r>
        <w:rPr>
          <w:sz w:val="24"/>
        </w:rPr>
        <w:t xml:space="preserve">"); </w:t>
      </w:r>
    </w:p>
    <w:p>
      <w:pPr>
        <w:pStyle w:val="Normal"/>
        <w:jc w:val="both"/>
        <w:rPr>
          <w:sz w:val="24"/>
        </w:rPr>
      </w:pPr>
      <w:r>
        <w:rPr>
          <w:sz w:val="24"/>
        </w:rPr>
      </w:r>
    </w:p>
    <w:p>
      <w:pPr>
        <w:pStyle w:val="Normal"/>
        <w:ind w:firstLine="720" w:end="0"/>
        <w:jc w:val="both"/>
        <w:rPr/>
      </w:pPr>
      <w:r>
        <w:rPr>
          <w:b/>
          <w:sz w:val="24"/>
        </w:rPr>
        <w:t>WHEREAS</w:t>
      </w:r>
      <w:r>
        <w:rPr>
          <w:sz w:val="24"/>
        </w:rPr>
        <w:t>, SBLLC has entered into the Field Services Agreement (hereinafter defined) to move such coal bed methane gas production from the inlet of certain reciprocating compressors connected to the Fort Union Gas Gathering, L.L.C. header located in Converse and Campbell Counties, Wyoming (the "</w:t>
      </w:r>
      <w:r>
        <w:rPr>
          <w:sz w:val="24"/>
          <w:u w:val="single"/>
        </w:rPr>
        <w:t>Fort Union Header</w:t>
      </w:r>
      <w:r>
        <w:rPr>
          <w:sz w:val="24"/>
        </w:rPr>
        <w:t>"); and</w:t>
      </w:r>
    </w:p>
    <w:p>
      <w:pPr>
        <w:pStyle w:val="Normal"/>
        <w:jc w:val="both"/>
        <w:rPr>
          <w:sz w:val="24"/>
        </w:rPr>
      </w:pPr>
      <w:r>
        <w:rPr>
          <w:sz w:val="24"/>
        </w:rPr>
      </w:r>
    </w:p>
    <w:p>
      <w:pPr>
        <w:pStyle w:val="Normal"/>
        <w:jc w:val="both"/>
        <w:rPr/>
      </w:pPr>
      <w:r>
        <w:rPr>
          <w:sz w:val="24"/>
        </w:rPr>
        <w:tab/>
      </w:r>
      <w:r>
        <w:rPr>
          <w:b/>
          <w:sz w:val="24"/>
        </w:rPr>
        <w:t>WHEREAS</w:t>
      </w:r>
      <w:r>
        <w:rPr>
          <w:sz w:val="24"/>
        </w:rPr>
        <w:t>, SBLLC desire to engage Independent to design, construct, and install compressors, lines, facilities, and appurtenances thereto that are to be used to collect and move coal bed methane gas production from the wellhead(s) to the inlet of those certain reciprocating compressors (the "</w:t>
      </w:r>
      <w:r>
        <w:rPr>
          <w:sz w:val="24"/>
          <w:u w:val="single"/>
        </w:rPr>
        <w:t>Collection Facilities</w:t>
      </w:r>
      <w:r>
        <w:rPr>
          <w:sz w:val="24"/>
        </w:rPr>
        <w:t>"); and</w:t>
      </w:r>
    </w:p>
    <w:p>
      <w:pPr>
        <w:pStyle w:val="Normal"/>
        <w:jc w:val="both"/>
        <w:rPr>
          <w:sz w:val="24"/>
        </w:rPr>
      </w:pPr>
      <w:r>
        <w:rPr>
          <w:sz w:val="24"/>
        </w:rPr>
      </w:r>
    </w:p>
    <w:p>
      <w:pPr>
        <w:pStyle w:val="Normal"/>
        <w:jc w:val="both"/>
        <w:rPr/>
      </w:pPr>
      <w:r>
        <w:rPr>
          <w:sz w:val="24"/>
        </w:rPr>
        <w:tab/>
      </w:r>
      <w:r>
        <w:rPr>
          <w:b/>
          <w:sz w:val="24"/>
        </w:rPr>
        <w:t>WHEREAS</w:t>
      </w:r>
      <w:r>
        <w:rPr>
          <w:sz w:val="24"/>
        </w:rPr>
        <w:t>, Independent desires to design, construct, and install the Collection Facilities in accordance with the terms of this Agreement.</w:t>
      </w:r>
    </w:p>
    <w:p>
      <w:pPr>
        <w:pStyle w:val="Normal"/>
        <w:jc w:val="both"/>
        <w:rPr>
          <w:sz w:val="24"/>
        </w:rPr>
      </w:pPr>
      <w:r>
        <w:rPr>
          <w:sz w:val="24"/>
        </w:rPr>
      </w:r>
    </w:p>
    <w:p>
      <w:pPr>
        <w:pStyle w:val="Normal"/>
        <w:jc w:val="both"/>
        <w:rPr/>
      </w:pPr>
      <w:r>
        <w:rPr>
          <w:sz w:val="24"/>
        </w:rPr>
        <w:tab/>
      </w:r>
      <w:r>
        <w:rPr>
          <w:b/>
          <w:sz w:val="24"/>
        </w:rPr>
        <w:t>NOW, THEREFORE</w:t>
      </w:r>
      <w:r>
        <w:rPr>
          <w:sz w:val="24"/>
        </w:rPr>
        <w:t>, in consideration of the premises and the mutual covenants and agreements herein contained, the parties hereto agree as follows:</w:t>
      </w:r>
    </w:p>
    <w:p>
      <w:pPr>
        <w:pStyle w:val="Heading2"/>
        <w:numPr>
          <w:ilvl w:val="0"/>
          <w:numId w:val="0"/>
        </w:numPr>
        <w:ind w:hanging="0" w:start="0"/>
        <w:rPr>
          <w:sz w:val="24"/>
        </w:rPr>
      </w:pPr>
      <w:r>
        <w:rPr>
          <w:sz w:val="24"/>
        </w:rPr>
      </w:r>
    </w:p>
    <w:p>
      <w:pPr>
        <w:pStyle w:val="Heading2"/>
        <w:numPr>
          <w:ilvl w:val="0"/>
          <w:numId w:val="0"/>
        </w:numPr>
        <w:ind w:firstLine="720" w:start="0" w:end="0"/>
        <w:rPr/>
      </w:pPr>
      <w:r>
        <w:rPr/>
        <w:t>1.</w:t>
        <w:tab/>
      </w:r>
      <w:r>
        <w:rPr>
          <w:u w:val="single"/>
        </w:rPr>
        <w:t>Scope of Work.</w:t>
      </w:r>
      <w:r>
        <w:rPr/>
        <w:t xml:space="preserve">  Independent shall furnish and pay for all labor, supervision, tools, technical capability, transportation, material(s), and supplies and all other items or accessories necessary for Independent to design, install, and construct the Collection Facilities (the "</w:t>
      </w:r>
      <w:r>
        <w:rPr>
          <w:u w:val="single"/>
        </w:rPr>
        <w:t>Work</w:t>
      </w:r>
      <w:r>
        <w:rPr/>
        <w:t>") which are capable of moving the Owner's Daily Deliverability of Gas as such term is defined in the Field Services Agreement by and among Enron Midstream Services, L.L.C., SBLLC and Independent dated August 31, 1999, as amended from time to time (the "</w:t>
      </w:r>
      <w:r>
        <w:rPr>
          <w:u w:val="single"/>
        </w:rPr>
        <w:t>Field Services Agreement</w:t>
      </w:r>
      <w:r>
        <w:rPr/>
        <w:t>").  The layout of the Collection Facilities and construction and material specifications shall be as set forth on Exhibit A hereto.  Exhibit A hereto shall be provided and updated by Independent to reflect any material changes and subject to the approval of Enron North America Corp., as a member of SBLLC, which approval shall not be unreasonably withheld.</w:t>
      </w:r>
    </w:p>
    <w:p>
      <w:pPr>
        <w:pStyle w:val="Heading2"/>
        <w:numPr>
          <w:ilvl w:val="0"/>
          <w:numId w:val="0"/>
        </w:numPr>
        <w:ind w:firstLine="720" w:start="0" w:end="0"/>
        <w:rPr/>
      </w:pPr>
      <w:r>
        <w:rPr/>
        <w:t>2.</w:t>
        <w:tab/>
      </w:r>
      <w:r>
        <w:rPr>
          <w:u w:val="single"/>
        </w:rPr>
        <w:t>In-Service Date</w:t>
      </w:r>
      <w:r>
        <w:rPr/>
        <w:t xml:space="preserve">.  Independent shall commence the Work as soon  reasonably possible after portions or all of the SBLLC well locations and the terminus of the Collection Facilities have been identified by Independent, as operator for SBLLC, and Enron Midstream Services, L.L.C., respectively.  The Collection Facilities shall be installed by Independent in segments in coordination with well completion by SBLLC taking into consideration the necessary lead times to insure that upon well completion, the well(s) are able to begin production through the Collection Facilities within a commercially reasonable period.  </w:t>
      </w:r>
    </w:p>
    <w:p>
      <w:pPr>
        <w:pStyle w:val="Normal"/>
        <w:jc w:val="both"/>
        <w:rPr/>
      </w:pPr>
      <w:r>
        <w:rPr>
          <w:sz w:val="24"/>
        </w:rPr>
        <w:tab/>
        <w:t>3.</w:t>
        <w:tab/>
      </w:r>
      <w:r>
        <w:rPr>
          <w:sz w:val="24"/>
          <w:u w:val="single"/>
        </w:rPr>
        <w:t>Term</w:t>
      </w:r>
      <w:r>
        <w:rPr>
          <w:sz w:val="24"/>
        </w:rPr>
        <w:t>.</w:t>
        <w:tab/>
        <w:t>This Agreement shall commence on the Effective Date and shall continue until final acceptance of the Work by SBLLC.</w:t>
      </w:r>
    </w:p>
    <w:p>
      <w:pPr>
        <w:pStyle w:val="Normal"/>
        <w:rPr>
          <w:sz w:val="24"/>
        </w:rPr>
      </w:pPr>
      <w:r>
        <w:rPr>
          <w:sz w:val="24"/>
        </w:rPr>
      </w:r>
    </w:p>
    <w:p>
      <w:pPr>
        <w:pStyle w:val="Normal"/>
        <w:jc w:val="both"/>
        <w:rPr/>
      </w:pPr>
      <w:r>
        <w:rPr>
          <w:sz w:val="24"/>
        </w:rPr>
        <w:tab/>
        <w:t>4.</w:t>
        <w:tab/>
      </w:r>
      <w:r>
        <w:rPr>
          <w:sz w:val="24"/>
          <w:u w:val="single"/>
        </w:rPr>
        <w:t>Standards</w:t>
      </w:r>
      <w:r>
        <w:rPr>
          <w:sz w:val="24"/>
        </w:rPr>
        <w:t>.</w:t>
        <w:tab/>
        <w:t>Independent shall perform the Work in accordance with prudent engineering standards generally acceptable within the industry.</w:t>
      </w:r>
    </w:p>
    <w:p>
      <w:pPr>
        <w:pStyle w:val="Normal"/>
        <w:jc w:val="both"/>
        <w:rPr>
          <w:sz w:val="24"/>
        </w:rPr>
      </w:pPr>
      <w:r>
        <w:rPr>
          <w:sz w:val="24"/>
        </w:rPr>
      </w:r>
    </w:p>
    <w:p>
      <w:pPr>
        <w:pStyle w:val="Normal"/>
        <w:jc w:val="both"/>
        <w:rPr/>
      </w:pPr>
      <w:r>
        <w:rPr>
          <w:sz w:val="24"/>
        </w:rPr>
        <w:tab/>
        <w:t xml:space="preserve">5.  </w:t>
        <w:tab/>
      </w:r>
      <w:r>
        <w:rPr>
          <w:sz w:val="24"/>
          <w:u w:val="single"/>
        </w:rPr>
        <w:t>Contract Price</w:t>
      </w:r>
      <w:r>
        <w:rPr>
          <w:sz w:val="24"/>
        </w:rPr>
        <w:t>.  SBLLC shall pay to Independent all direct costs and expenses incurred by Independent in performing the Work up to and not to exceed an amount of $975,000 (the "</w:t>
      </w:r>
      <w:r>
        <w:rPr>
          <w:sz w:val="24"/>
          <w:u w:val="single"/>
        </w:rPr>
        <w:t>Contract Price</w:t>
      </w:r>
      <w:r>
        <w:rPr>
          <w:sz w:val="24"/>
        </w:rPr>
        <w:t xml:space="preserve">").  All cost and expenses incurred by Independent in excess of $975,000 to complete the Work shall be borne by Independent, unless otherwise mutually agreed by the Parties in writing. </w:t>
      </w:r>
    </w:p>
    <w:p>
      <w:pPr>
        <w:pStyle w:val="Normal"/>
        <w:jc w:val="both"/>
        <w:rPr>
          <w:sz w:val="24"/>
        </w:rPr>
      </w:pPr>
      <w:r>
        <w:rPr>
          <w:sz w:val="24"/>
        </w:rPr>
      </w:r>
    </w:p>
    <w:p>
      <w:pPr>
        <w:pStyle w:val="Heading2"/>
        <w:numPr>
          <w:ilvl w:val="0"/>
          <w:numId w:val="0"/>
        </w:numPr>
        <w:ind w:firstLine="720" w:start="0" w:end="0"/>
        <w:rPr/>
      </w:pPr>
      <w:r>
        <w:rPr/>
        <w:t>6.</w:t>
        <w:tab/>
      </w:r>
      <w:r>
        <w:rPr>
          <w:u w:val="single"/>
        </w:rPr>
        <w:t>Payment Terms</w:t>
      </w:r>
      <w:r>
        <w:rPr/>
        <w:t>. Independent shall provide to SBLLC a monthly summarized statement of construction costs and expenses incurred hereunder by Independent for the previous month for the Work along with copies of original invoices and supporting documentation.  The summarized statement shall also include the current status of the construction of the Collection Facilities.  SBLLC shall pay to Independent the amount owed for an approved summarized statement within 25 days of receipt thereof.</w:t>
      </w:r>
    </w:p>
    <w:p>
      <w:pPr>
        <w:pStyle w:val="Normal"/>
        <w:jc w:val="both"/>
        <w:rPr/>
      </w:pPr>
      <w:r>
        <w:rPr>
          <w:sz w:val="24"/>
        </w:rPr>
        <w:tab/>
        <w:t>7.</w:t>
        <w:tab/>
      </w:r>
      <w:r>
        <w:rPr>
          <w:sz w:val="24"/>
          <w:u w:val="single"/>
        </w:rPr>
        <w:t>Easements</w:t>
      </w:r>
      <w:r>
        <w:rPr>
          <w:sz w:val="24"/>
        </w:rPr>
        <w:t>.  Independent shall obtain the grant, conveyance or assignment to SBLLC of all necessary rights-of-way, easements, or other land rights necessary for the installation, construction, and operation and maintenance of the Collection Facilities.  All documents evidencing such grant, conveyance, or assignment for all segments of the Collection Facilities shall be referenced in Exhibit A hereto or alignment drawings created by Independent.  Independent agrees that costs of obtaining such rights-of-way, easements, and other land rights are specifically included in the Contract Price.</w:t>
      </w:r>
    </w:p>
    <w:p>
      <w:pPr>
        <w:pStyle w:val="Normal"/>
        <w:jc w:val="both"/>
        <w:rPr>
          <w:sz w:val="24"/>
        </w:rPr>
      </w:pPr>
      <w:r>
        <w:rPr>
          <w:sz w:val="24"/>
        </w:rPr>
      </w:r>
    </w:p>
    <w:p>
      <w:pPr>
        <w:pStyle w:val="Normal"/>
        <w:jc w:val="both"/>
        <w:rPr/>
      </w:pPr>
      <w:r>
        <w:rPr>
          <w:sz w:val="24"/>
        </w:rPr>
        <w:tab/>
        <w:t>8.</w:t>
        <w:tab/>
      </w:r>
      <w:r>
        <w:rPr>
          <w:sz w:val="24"/>
          <w:u w:val="single"/>
        </w:rPr>
        <w:t>Subcontracting</w:t>
      </w:r>
      <w:r>
        <w:rPr>
          <w:sz w:val="24"/>
        </w:rPr>
        <w:t>.  Independent may prudently use subcontractors in the performance of all or any part of its obligations under this Agreement; however, no such subcontracting shall relieve Independent of its obligations hereunder.  Any such subcontracting shall be subject to the terms and conditions of this Agreement.</w:t>
      </w:r>
    </w:p>
    <w:p>
      <w:pPr>
        <w:pStyle w:val="Heading2"/>
        <w:numPr>
          <w:ilvl w:val="0"/>
          <w:numId w:val="0"/>
        </w:numPr>
        <w:spacing w:before="0" w:after="0"/>
        <w:ind w:firstLine="720" w:start="0" w:end="0"/>
        <w:rPr>
          <w:sz w:val="24"/>
        </w:rPr>
      </w:pPr>
      <w:r>
        <w:rPr>
          <w:sz w:val="24"/>
        </w:rPr>
      </w:r>
    </w:p>
    <w:p>
      <w:pPr>
        <w:pStyle w:val="Heading2"/>
        <w:numPr>
          <w:ilvl w:val="0"/>
          <w:numId w:val="0"/>
        </w:numPr>
        <w:ind w:firstLine="720" w:start="0" w:end="0"/>
        <w:rPr>
          <w:b/>
        </w:rPr>
      </w:pPr>
      <w:r>
        <w:rPr/>
        <w:t>9.</w:t>
        <w:tab/>
      </w:r>
      <w:r>
        <w:rPr>
          <w:u w:val="single"/>
        </w:rPr>
        <w:t>Ownership and Risk of Loss</w:t>
      </w:r>
      <w:r>
        <w:rPr/>
        <w:t>.  Independent shall be responsible for and be obligated to replace, repair, or reconstruct the Work and any material, equipment, or supplies furnished for the Work which is lost, damaged or destroyed prior to transfer of care, custody, and control thereof to SBLLC, and control shall be deemed to occur at the point in time when natural gas is first introduced into the Collection Facilities; provided that, Independent shall not be liable for any damage to the Work caused by SBLLC or persons under the direction or control of SBLLC.  Title to the Work or any part thereof shall transfer to SBLLC when payment for the Work or any part thereof is made.  Independent shall transfer such title to SBLLC free and clear of any liens or encumbrances.</w:t>
      </w:r>
    </w:p>
    <w:p>
      <w:pPr>
        <w:pStyle w:val="Normal"/>
        <w:jc w:val="both"/>
        <w:rPr/>
      </w:pPr>
      <w:r>
        <w:rPr>
          <w:sz w:val="24"/>
        </w:rPr>
        <w:tab/>
        <w:t xml:space="preserve">10. </w:t>
        <w:tab/>
      </w:r>
      <w:r>
        <w:rPr>
          <w:sz w:val="24"/>
          <w:u w:val="single"/>
        </w:rPr>
        <w:t>Taxes</w:t>
      </w:r>
      <w:r>
        <w:rPr>
          <w:sz w:val="24"/>
        </w:rPr>
        <w:t>.</w:t>
        <w:tab/>
        <w:t xml:space="preserve"> Independent shall be responsible for any and all taxes of any type whatsoever assessed on the Work.  The Contract Price includes all sales, use, gross receipts or other applicable taxes on materials, supplies, equipment or services furnished by Independent.</w:t>
        <w:tab/>
      </w:r>
    </w:p>
    <w:p>
      <w:pPr>
        <w:pStyle w:val="Normal"/>
        <w:rPr>
          <w:sz w:val="24"/>
        </w:rPr>
      </w:pPr>
      <w:r>
        <w:rPr>
          <w:sz w:val="24"/>
        </w:rPr>
      </w:r>
    </w:p>
    <w:p>
      <w:pPr>
        <w:pStyle w:val="Heading2"/>
        <w:numPr>
          <w:ilvl w:val="0"/>
          <w:numId w:val="0"/>
        </w:numPr>
        <w:ind w:firstLine="720" w:start="0" w:end="0"/>
        <w:rPr/>
      </w:pPr>
      <w:r>
        <w:rPr/>
        <w:t>11.</w:t>
        <w:tab/>
      </w:r>
      <w:r>
        <w:rPr>
          <w:u w:val="single"/>
        </w:rPr>
        <w:t>Inspection and Retention of Records</w:t>
      </w:r>
      <w:r>
        <w:rPr/>
        <w:t>.  SBLLC shall have the right at all reasonable times to audit the records of Independent which are pertinent to the Agreement; provided, however.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natural gas pipeline design and construction or in accordance with any laws, rules or regulations which are or may become applicable, and such records and accounts will be available for inspection at times mutually agreeable to the Parties hereto.</w:t>
      </w:r>
    </w:p>
    <w:p>
      <w:pPr>
        <w:pStyle w:val="BodyText"/>
        <w:rPr/>
      </w:pPr>
      <w:r>
        <w:rPr/>
        <w:t>12.</w:t>
        <w:tab/>
      </w:r>
      <w:r>
        <w:rPr>
          <w:u w:val="single"/>
        </w:rPr>
        <w:t>Insurance</w:t>
      </w:r>
      <w:r>
        <w:rPr/>
        <w:t>.</w:t>
        <w:tab/>
        <w:t>Independent shall, at Independent's sole cost and expense, have and maintain insurance in such amounts, against such risks (including, without limitation, public liability insurance) with such carriers and in such form as shall be satisfactory to SBLLC, such insurance requirements as set forth in Exhibit F of the Limited Liability Company Agreement of Sapphire Bay, L.L.C. dated August 3, 1999 by and among Enron North America Corp., Joint Energy Development Investments II, Limited Partnership, and Independent Production Company, Inc.  During the term of this Agreement Independent shall obtain and maintain in effect waivers of subrogation from its insurers, each in favor of SBLLC, under the policies required hereunder.  Further, during the term of this Agreement, Independent shall cause SBLLC to be named as an additional insured on its public liability policies applicable hereto, subject to existing deductibles and other provisions contained in such policies.  Independent shall provide prior written notice to SBLLC of any intended material alteration of insurance coverage required to be maintained under this Paragraph 11 and shall not make any such changes without SBLLC's consent.  In addition, Independent shall provide to SBLLC immediate notice of any cancellation or material alteration of coverage upon receiving notice thereof from any carrier.  Not less than ten days prior to the expiration date of any policies required hereunder, Independent shall deliver evidence to SBLLC of insurance, in substantially the same form as previously held evidencing renewal or replacement thereof.</w:t>
      </w:r>
    </w:p>
    <w:p>
      <w:pPr>
        <w:pStyle w:val="Heading2"/>
        <w:numPr>
          <w:ilvl w:val="0"/>
          <w:numId w:val="0"/>
        </w:numPr>
        <w:ind w:firstLine="720" w:start="0" w:end="0"/>
        <w:rPr/>
      </w:pPr>
      <w:r>
        <w:rPr>
          <w:caps/>
        </w:rPr>
        <w:t>13.</w:t>
        <w:tab/>
      </w:r>
      <w:r>
        <w:rPr>
          <w:u w:val="single"/>
        </w:rPr>
        <w:t>Indemnity</w:t>
      </w:r>
      <w:r>
        <w:rPr/>
        <w:t>.  Each Party agrees to indemnify, defend and hold harmless the other Party and their respective parents, members and other affiliates, successors, assigns, legal representatives, officers, directors, shareholders, agents and employees (the “</w:t>
      </w:r>
      <w:r>
        <w:rPr>
          <w:u w:val="single"/>
        </w:rPr>
        <w:t>Indemnified Party</w:t>
      </w:r>
      <w:r>
        <w:rPr/>
        <w:t>”)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or claims resulting from any rights-of-way, easements, or land rights required under Section 7 of this Agreement), civil or criminal fines or penalties or similar payments, or other losses not enumerated above (hereafter an "</w:t>
      </w:r>
      <w:r>
        <w:rPr>
          <w:u w:val="single"/>
        </w:rPr>
        <w:t>Indemnity Claim</w:t>
      </w:r>
      <w:r>
        <w:rPr/>
        <w:t>"),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or in the course of its performance of this Agreement or any activities conducted by such Party (or any of such Party’s employees, agents, representatives, contractors or subcontractors) pursuant to this Agreement.</w:t>
      </w:r>
      <w:r>
        <w:rPr>
          <w:b/>
        </w:rPr>
        <w:t xml:space="preserve">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numPr>
          <w:ilvl w:val="0"/>
          <w:numId w:val="0"/>
        </w:numPr>
        <w:ind w:firstLine="720" w:start="0" w:end="0"/>
        <w:rPr/>
      </w:pPr>
      <w:r>
        <w:rPr/>
        <w:t>14.</w:t>
        <w:tab/>
      </w:r>
      <w:r>
        <w:rPr>
          <w:b/>
          <w:u w:val="single"/>
        </w:rPr>
        <w:t>Limitation of Damage Recovery</w:t>
      </w:r>
      <w:r>
        <w:rPr>
          <w:b/>
        </w:rPr>
        <w:t>.  EXCEPT AS EXPRESSLY PROVIDED HEREIN, NO PARTY SHALL BE LIABLE TO ANY OTHER PARTY FOR ANY PUNITIVE, EXEMPLARY, OR TREBLE UNDER OR IN RESPECT OF THIS AGREEMENT OR FOR ANY FAILURE OF PERFORMANCE RELATED HERETO HOWSOEVER CAUSED, EXCEPT TO THE EXTENT INCORPORATED INTO AN INDEMNITY CLAIM.</w:t>
      </w:r>
    </w:p>
    <w:p>
      <w:pPr>
        <w:pStyle w:val="Normal"/>
        <w:ind w:firstLine="720" w:end="0"/>
        <w:jc w:val="both"/>
        <w:rPr/>
      </w:pPr>
      <w:r>
        <w:rPr>
          <w:sz w:val="24"/>
        </w:rPr>
        <w:t>15.</w:t>
        <w:tab/>
      </w:r>
      <w:r>
        <w:rPr>
          <w:sz w:val="24"/>
          <w:u w:val="single"/>
        </w:rPr>
        <w:t>Notices and Statements</w:t>
      </w:r>
      <w:r>
        <w:rPr>
          <w:sz w:val="24"/>
        </w:rPr>
        <w:t xml:space="preserve">. </w:t>
      </w:r>
      <w:r>
        <w:rPr>
          <w:b/>
          <w:sz w:val="24"/>
        </w:rPr>
        <w:t xml:space="preserve"> </w:t>
      </w:r>
      <w:r>
        <w:rPr>
          <w:sz w:val="24"/>
          <w:lang w:eastAsia="en-US"/>
        </w:rPr>
        <w:t>All notices, statements, and communications made pursuant to this Agreement shall be made as specified below.  Notices required to be in writing shall be delivered in written form by letter, facsimile or other documentary form.  Notice by facsimile or hand delivery shall be deemed to have been received by the close of the day on which it was transmitted or hand delivered (unless transmitted or hand delivered after close of a business day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Heading2"/>
        <w:numPr>
          <w:ilvl w:val="0"/>
          <w:numId w:val="0"/>
        </w:numPr>
        <w:ind w:hanging="0" w:start="0"/>
        <w:rPr>
          <w:sz w:val="24"/>
          <w:lang w:eastAsia="en-US"/>
        </w:rPr>
      </w:pPr>
      <w:r>
        <w:rPr>
          <w:sz w:val="24"/>
          <w:lang w:eastAsia="en-US"/>
        </w:rPr>
      </w:r>
    </w:p>
    <w:tbl>
      <w:tblPr>
        <w:tblW w:w="9558" w:type="dxa"/>
        <w:jc w:val="start"/>
        <w:tblInd w:w="18" w:type="dxa"/>
        <w:tblLayout w:type="fixed"/>
        <w:tblCellMar>
          <w:top w:w="0" w:type="dxa"/>
          <w:start w:w="108" w:type="dxa"/>
          <w:bottom w:w="0" w:type="dxa"/>
          <w:end w:w="108" w:type="dxa"/>
        </w:tblCellMar>
      </w:tblPr>
      <w:tblGrid>
        <w:gridCol w:w="4770"/>
        <w:gridCol w:w="4788"/>
      </w:tblGrid>
      <w:tr>
        <w:trPr/>
        <w:tc>
          <w:tcPr>
            <w:tcW w:w="4770" w:type="dxa"/>
            <w:tcBorders/>
          </w:tcPr>
          <w:p>
            <w:pPr>
              <w:pStyle w:val="Normal"/>
              <w:ind w:hanging="720" w:start="720" w:end="0"/>
              <w:jc w:val="both"/>
              <w:rPr>
                <w:sz w:val="24"/>
              </w:rPr>
            </w:pPr>
            <w:r>
              <w:rPr>
                <w:sz w:val="24"/>
              </w:rPr>
              <w:t>SBLLC:</w:t>
            </w:r>
          </w:p>
          <w:p>
            <w:pPr>
              <w:pStyle w:val="Normal"/>
              <w:ind w:hanging="720" w:start="720" w:end="0"/>
              <w:jc w:val="both"/>
              <w:rPr>
                <w:sz w:val="24"/>
              </w:rPr>
            </w:pPr>
            <w:r>
              <w:rPr>
                <w:sz w:val="24"/>
              </w:rPr>
            </w:r>
          </w:p>
          <w:p>
            <w:pPr>
              <w:pStyle w:val="Normal"/>
              <w:keepNext w:val="true"/>
              <w:rPr/>
            </w:pPr>
            <w:r>
              <w:rPr>
                <w:b/>
                <w:sz w:val="24"/>
              </w:rPr>
              <w:t xml:space="preserve">Independent Production Company, Inc. </w:t>
            </w:r>
            <w:r>
              <w:rPr>
                <w:sz w:val="24"/>
              </w:rPr>
              <w:t xml:space="preserve">as Managing Member of </w:t>
              <w:br/>
              <w:t>Sapphire Bay, L.L.C.,</w:t>
            </w:r>
          </w:p>
          <w:p>
            <w:pPr>
              <w:pStyle w:val="Normal"/>
              <w:keepNext w:val="true"/>
              <w:ind w:start="259" w:end="0"/>
              <w:rPr/>
            </w:pPr>
            <w:r>
              <w:rPr>
                <w:sz w:val="24"/>
              </w:rPr>
              <w:t>410 – 17</w:t>
            </w:r>
            <w:r>
              <w:rPr>
                <w:sz w:val="24"/>
                <w:vertAlign w:val="superscript"/>
              </w:rPr>
              <w:t>th</w:t>
            </w:r>
            <w:r>
              <w:rPr>
                <w:sz w:val="24"/>
              </w:rPr>
              <w:t xml:space="preserve"> St., Suite 570 </w:t>
            </w:r>
          </w:p>
          <w:p>
            <w:pPr>
              <w:pStyle w:val="Normal"/>
              <w:keepNext w:val="true"/>
              <w:ind w:start="259" w:end="0"/>
              <w:rPr>
                <w:sz w:val="24"/>
              </w:rPr>
            </w:pPr>
            <w:r>
              <w:rPr>
                <w:sz w:val="24"/>
              </w:rPr>
              <w:t>Denver, CO 80202</w:t>
            </w:r>
          </w:p>
          <w:p>
            <w:pPr>
              <w:pStyle w:val="Normal"/>
              <w:keepNext w:val="true"/>
              <w:ind w:start="259" w:end="0"/>
              <w:rPr>
                <w:sz w:val="24"/>
              </w:rPr>
            </w:pPr>
            <w:r>
              <w:rPr>
                <w:sz w:val="24"/>
              </w:rPr>
              <w:t>Phone (303) 595-8829</w:t>
            </w:r>
          </w:p>
          <w:p>
            <w:pPr>
              <w:pStyle w:val="Normal"/>
              <w:keepNext w:val="true"/>
              <w:ind w:start="259" w:end="0"/>
              <w:rPr>
                <w:sz w:val="24"/>
              </w:rPr>
            </w:pPr>
            <w:r>
              <w:rPr>
                <w:sz w:val="24"/>
              </w:rPr>
              <w:t>Fax: (303) 595-3653</w:t>
            </w:r>
          </w:p>
          <w:p>
            <w:pPr>
              <w:pStyle w:val="Normal"/>
              <w:keepNext w:val="true"/>
              <w:spacing w:before="120" w:after="0"/>
              <w:rPr>
                <w:sz w:val="24"/>
              </w:rPr>
            </w:pPr>
            <w:r>
              <w:rPr>
                <w:sz w:val="24"/>
              </w:rPr>
            </w:r>
          </w:p>
          <w:p>
            <w:pPr>
              <w:pStyle w:val="Normal"/>
              <w:rPr>
                <w:sz w:val="24"/>
              </w:rPr>
            </w:pPr>
            <w:r>
              <w:rPr>
                <w:sz w:val="24"/>
              </w:rPr>
            </w:r>
          </w:p>
        </w:tc>
        <w:tc>
          <w:tcPr>
            <w:tcW w:w="4788" w:type="dxa"/>
            <w:tcBorders/>
          </w:tcPr>
          <w:p>
            <w:pPr>
              <w:pStyle w:val="Normal"/>
              <w:rPr>
                <w:sz w:val="24"/>
              </w:rPr>
            </w:pPr>
            <w:r>
              <w:rPr>
                <w:sz w:val="24"/>
              </w:rPr>
              <w:t>Independent:</w:t>
            </w:r>
          </w:p>
          <w:p>
            <w:pPr>
              <w:pStyle w:val="Normal"/>
              <w:rPr>
                <w:b/>
                <w:sz w:val="24"/>
              </w:rPr>
            </w:pPr>
            <w:r>
              <w:rPr>
                <w:b/>
                <w:sz w:val="24"/>
              </w:rPr>
            </w:r>
          </w:p>
          <w:p>
            <w:pPr>
              <w:pStyle w:val="Normal"/>
              <w:rPr>
                <w:b/>
                <w:sz w:val="24"/>
              </w:rPr>
            </w:pPr>
            <w:r>
              <w:rPr>
                <w:b/>
                <w:sz w:val="24"/>
              </w:rPr>
              <w:t>Independent Production Company, Inc.</w:t>
            </w:r>
          </w:p>
          <w:p>
            <w:pPr>
              <w:pStyle w:val="Normal"/>
              <w:keepNext w:val="true"/>
              <w:ind w:start="259" w:end="0"/>
              <w:rPr/>
            </w:pPr>
            <w:r>
              <w:rPr>
                <w:sz w:val="24"/>
              </w:rPr>
              <w:t>410 – 17</w:t>
            </w:r>
            <w:r>
              <w:rPr>
                <w:sz w:val="24"/>
                <w:vertAlign w:val="superscript"/>
              </w:rPr>
              <w:t>th</w:t>
            </w:r>
            <w:r>
              <w:rPr>
                <w:sz w:val="24"/>
              </w:rPr>
              <w:t xml:space="preserve"> St., Suite 570</w:t>
            </w:r>
          </w:p>
          <w:p>
            <w:pPr>
              <w:pStyle w:val="Normal"/>
              <w:keepNext w:val="true"/>
              <w:ind w:start="259" w:end="0"/>
              <w:rPr>
                <w:sz w:val="24"/>
              </w:rPr>
            </w:pPr>
            <w:r>
              <w:rPr>
                <w:sz w:val="24"/>
              </w:rPr>
              <w:t>Denver, CO 80202</w:t>
            </w:r>
          </w:p>
          <w:p>
            <w:pPr>
              <w:pStyle w:val="Normal"/>
              <w:keepNext w:val="true"/>
              <w:ind w:start="259" w:end="0"/>
              <w:rPr>
                <w:sz w:val="24"/>
              </w:rPr>
            </w:pPr>
            <w:r>
              <w:rPr>
                <w:sz w:val="24"/>
              </w:rPr>
              <w:t>Phone (303) 595-8829</w:t>
            </w:r>
          </w:p>
          <w:p>
            <w:pPr>
              <w:pStyle w:val="Normal"/>
              <w:keepNext w:val="true"/>
              <w:ind w:start="259" w:end="0"/>
              <w:rPr>
                <w:sz w:val="24"/>
              </w:rPr>
            </w:pPr>
            <w:r>
              <w:rPr>
                <w:sz w:val="24"/>
              </w:rPr>
              <w:t>Fax: (303) 595-3653</w:t>
            </w:r>
          </w:p>
          <w:p>
            <w:pPr>
              <w:pStyle w:val="Normal"/>
              <w:keepNext w:val="true"/>
              <w:ind w:start="259" w:end="0"/>
              <w:rPr>
                <w:sz w:val="24"/>
              </w:rPr>
            </w:pPr>
            <w:r>
              <w:rPr>
                <w:sz w:val="24"/>
              </w:rPr>
            </w:r>
          </w:p>
          <w:p>
            <w:pPr>
              <w:pStyle w:val="Normal"/>
              <w:rPr>
                <w:sz w:val="24"/>
              </w:rPr>
            </w:pPr>
            <w:r>
              <w:rPr>
                <w:sz w:val="24"/>
              </w:rPr>
              <w:t xml:space="preserve"> </w:t>
            </w:r>
          </w:p>
        </w:tc>
      </w:tr>
    </w:tbl>
    <w:p>
      <w:pPr>
        <w:pStyle w:val="Heading2"/>
        <w:numPr>
          <w:ilvl w:val="0"/>
          <w:numId w:val="0"/>
        </w:numPr>
        <w:ind w:firstLine="720" w:start="0" w:end="0"/>
        <w:rPr/>
      </w:pPr>
      <w:r>
        <w:rPr/>
        <w:t>16.</w:t>
        <w:tab/>
      </w:r>
      <w:r>
        <w:rPr>
          <w:u w:val="single"/>
        </w:rPr>
        <w:t>Compliance with Laws</w:t>
      </w:r>
      <w:r>
        <w:rPr/>
        <w:t>.  The Work shall be performed by Independent in compliance with all valid laws, orders, directives, rules and regulations of governmental authorities having jurisdiction.</w:t>
      </w:r>
    </w:p>
    <w:p>
      <w:pPr>
        <w:pStyle w:val="Normal"/>
        <w:rPr>
          <w:sz w:val="24"/>
        </w:rPr>
      </w:pPr>
      <w:r>
        <w:rPr>
          <w:sz w:val="24"/>
        </w:rPr>
      </w:r>
    </w:p>
    <w:p>
      <w:pPr>
        <w:pStyle w:val="Heading2"/>
        <w:numPr>
          <w:ilvl w:val="0"/>
          <w:numId w:val="0"/>
        </w:numPr>
        <w:ind w:firstLine="720" w:start="0" w:end="0"/>
        <w:rPr/>
      </w:pPr>
      <w:r>
        <w:rPr/>
        <w:t>17.</w:t>
        <w:tab/>
      </w:r>
      <w:r>
        <w:rPr>
          <w:u w:val="single"/>
        </w:rPr>
        <w:t>Laws</w:t>
      </w:r>
      <w:r>
        <w:rPr/>
        <w:t xml:space="preserve">.  </w:t>
      </w:r>
      <w:r>
        <w:rPr>
          <w:b/>
        </w:rPr>
        <w:t>THIS AGREEMENT SHALL BE GOVERNED BY AND CONSTRUED IN ACCORDANCE WITH THE LAWS OF THE STATE OF WYOMING.</w:t>
      </w:r>
    </w:p>
    <w:p>
      <w:pPr>
        <w:pStyle w:val="Normal"/>
        <w:ind w:firstLine="720" w:end="0"/>
        <w:jc w:val="both"/>
        <w:rPr/>
      </w:pPr>
      <w:r>
        <w:rPr>
          <w:sz w:val="24"/>
        </w:rPr>
        <w:t>18.</w:t>
        <w:tab/>
      </w:r>
      <w:r>
        <w:rPr>
          <w:sz w:val="24"/>
          <w:u w:val="single"/>
        </w:rPr>
        <w:t>Arbitration</w:t>
      </w:r>
      <w:r>
        <w:rPr>
          <w:sz w:val="24"/>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sz w:val="24"/>
          <w:u w:val="single"/>
        </w:rPr>
        <w:t>AAA</w:t>
      </w:r>
      <w:r>
        <w:rPr>
          <w:sz w:val="24"/>
        </w:rPr>
        <w:t>") and shall be conducted in Denver, Colorado.  Each Party shall each designate an arbitrator, within 30 Days of receiving notification of the filing with AAA of an arbitration demand.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If either Party fails to timely designate an arbitrator, or the Parties' arbitrators fail to designate the third within 30 Days of their appointments, arbitrators shall be appointed by AAA such that there will be three arbitrators.  Only monetary damages allowed pursuant to this Agreement may be awarded and the arbitrators shall have no authority to award exemplary, punitive, or treble damages of any type under any circumstances regardless of whether such damages may be available under law.</w:t>
      </w:r>
    </w:p>
    <w:p>
      <w:pPr>
        <w:pStyle w:val="Normal"/>
        <w:ind w:firstLine="720" w:end="0"/>
        <w:jc w:val="both"/>
        <w:rPr>
          <w:sz w:val="24"/>
        </w:rPr>
      </w:pPr>
      <w:r>
        <w:rPr>
          <w:sz w:val="24"/>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pPr>
      <w:r>
        <w:rPr>
          <w:sz w:val="24"/>
        </w:rPr>
        <w:tab/>
        <w:t>19.</w:t>
        <w:tab/>
        <w:tab/>
      </w:r>
      <w:r>
        <w:rPr>
          <w:sz w:val="24"/>
          <w:u w:val="single"/>
        </w:rPr>
        <w:t>Independent Contractor</w:t>
      </w:r>
      <w:r>
        <w:rPr>
          <w:sz w:val="24"/>
        </w:rPr>
        <w:t>.</w:t>
        <w:tab/>
        <w:t xml:space="preserve">The Work performed by Independent in the fulfillment of the terms and obligations of this Agreement shall be as an independent contractor, and this Agreement does not create an employer/employee relationship between SBLLC and Independent or between any employees or contractors of Independent and SBLLC.  Independent is not entitled to the benefits provided by SBLLC or its parent, subsidiaries or affiliates to their employees, and by operation of this Agreement, Independent is not an agent, partner, or joint venture of SBLLC, its parent or any subsidiary or affiliate.  This Agreement is not intended to create, and shall not be construed to create, a relationship of partnership, joint venturers, an association for profit or any other type of special relationship of the type that gives rise to fiduciary duties under the law.  Independent shall act at its own risk and expense in its fulfillment of the terms and obligations of this Agreement and shall employ and direct any persons performing the Work hereunder.  In its capacity as a Party to this Agreement, Independent shall not represent itself to third persons to be anything other than an independent contractor of Company, nor shall Independent offer to agree or to incur or assume any obligations or commitments in the name of SBLLC.  </w:t>
      </w:r>
    </w:p>
    <w:p>
      <w:pPr>
        <w:pStyle w:val="Normal"/>
        <w:ind w:firstLine="720" w:end="0"/>
        <w:jc w:val="both"/>
        <w:rPr>
          <w:sz w:val="24"/>
        </w:rPr>
      </w:pPr>
      <w:r>
        <w:rPr>
          <w:sz w:val="24"/>
        </w:rPr>
      </w:r>
    </w:p>
    <w:p>
      <w:pPr>
        <w:pStyle w:val="Heading2"/>
        <w:numPr>
          <w:ilvl w:val="0"/>
          <w:numId w:val="0"/>
        </w:numPr>
        <w:ind w:firstLine="720" w:start="0" w:end="0"/>
        <w:rPr/>
      </w:pPr>
      <w:r>
        <w:rPr/>
        <w:t>20.</w:t>
        <w:tab/>
      </w:r>
      <w:r>
        <w:rPr>
          <w:u w:val="single"/>
        </w:rPr>
        <w:t>Binding Agreement and Assignments</w:t>
      </w:r>
      <w:r>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Party to this Agreement, which shall not be unreasonably withheld.  Any sale, assignment or transfer in violation of the foregoing provisions shall be void.</w:t>
      </w:r>
    </w:p>
    <w:p>
      <w:pPr>
        <w:pStyle w:val="Normal"/>
        <w:rPr/>
      </w:pPr>
      <w:r>
        <w:rPr>
          <w:sz w:val="24"/>
        </w:rPr>
        <w:tab/>
        <w:t>21.</w:t>
        <w:tab/>
      </w:r>
      <w:r>
        <w:rPr>
          <w:sz w:val="24"/>
          <w:u w:val="single"/>
        </w:rPr>
        <w:t>Survival of Provisons</w:t>
      </w:r>
      <w:r>
        <w:rPr>
          <w:sz w:val="24"/>
        </w:rPr>
        <w:t>.  The terms of Paragraphs 9, 10, 12, 13, and 15 shall survive termination of this Agreement.</w:t>
      </w:r>
    </w:p>
    <w:p>
      <w:pPr>
        <w:pStyle w:val="Normal"/>
        <w:rPr>
          <w:sz w:val="24"/>
        </w:rPr>
      </w:pPr>
      <w:r>
        <w:rPr>
          <w:sz w:val="24"/>
        </w:rPr>
      </w:r>
    </w:p>
    <w:p>
      <w:pPr>
        <w:pStyle w:val="Heading2"/>
        <w:numPr>
          <w:ilvl w:val="0"/>
          <w:numId w:val="0"/>
        </w:numPr>
        <w:ind w:firstLine="720" w:start="0" w:end="0"/>
        <w:rPr/>
      </w:pPr>
      <w:r>
        <w:rPr/>
        <w:t>22.</w:t>
        <w:tab/>
      </w:r>
      <w:r>
        <w:rPr>
          <w:u w:val="single"/>
        </w:rPr>
        <w:t>Miscellaneous</w:t>
      </w:r>
      <w:r>
        <w:rPr>
          <w:b/>
          <w:u w:val="single"/>
        </w:rPr>
        <w:t>.</w:t>
      </w:r>
      <w:r>
        <w:rPr/>
        <w:t xml:space="preserve">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invalid, illegal, or unenforceable provisions remained in effect.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numPr>
          <w:ilvl w:val="0"/>
          <w:numId w:val="0"/>
        </w:numPr>
        <w:ind w:firstLine="720" w:start="0" w:end="0"/>
        <w:rPr/>
      </w:pPr>
      <w:r>
        <w:rPr/>
        <w:t>23.</w:t>
        <w:tab/>
      </w:r>
      <w:r>
        <w:rPr>
          <w:u w:val="single"/>
        </w:rPr>
        <w:t>Counterparts</w:t>
      </w:r>
      <w:r>
        <w:rPr/>
        <w:t>.  This Agreement may be executed in any number of counterparts, each of which when so executed shall be deemed to be an originally executed copy.</w:t>
      </w:r>
    </w:p>
    <w:p>
      <w:pPr>
        <w:pStyle w:val="Normal"/>
        <w:jc w:val="both"/>
        <w:rPr>
          <w:sz w:val="24"/>
        </w:rPr>
      </w:pPr>
      <w:r>
        <w:rPr>
          <w:sz w:val="24"/>
        </w:rPr>
        <w:tab/>
        <w:t>IN WITNESS WHEREOF, the parties hereto have executed this Agreement as of the date first above written.</w:t>
      </w:r>
    </w:p>
    <w:p>
      <w:pPr>
        <w:pStyle w:val="Normal"/>
        <w:jc w:val="both"/>
        <w:rPr>
          <w:sz w:val="24"/>
        </w:rPr>
      </w:pPr>
      <w:r>
        <w:rPr>
          <w:sz w:val="24"/>
        </w:rPr>
      </w:r>
    </w:p>
    <w:p>
      <w:pPr>
        <w:pStyle w:val="Normal"/>
        <w:ind w:hanging="5040" w:start="5040" w:end="0"/>
        <w:rPr>
          <w:b/>
          <w:sz w:val="24"/>
        </w:rPr>
      </w:pPr>
      <w:r>
        <w:rPr>
          <w:b/>
          <w:sz w:val="24"/>
        </w:rPr>
        <w:t>SAPPHIRE BAY, L.L.C.</w:t>
        <w:tab/>
        <w:t>INDEPENDENT PRODUCTION</w:t>
      </w:r>
    </w:p>
    <w:p>
      <w:pPr>
        <w:pStyle w:val="Normal"/>
        <w:tabs>
          <w:tab w:val="clear" w:pos="720"/>
          <w:tab w:val="left" w:pos="1080" w:leader="none"/>
        </w:tabs>
        <w:ind w:firstLine="720" w:end="0"/>
        <w:rPr>
          <w:sz w:val="24"/>
        </w:rPr>
      </w:pPr>
      <w:r>
        <w:rPr>
          <w:sz w:val="24"/>
        </w:rPr>
        <w:t>by INDEPENDENT PRODUCTION</w:t>
        <w:tab/>
        <w:tab/>
      </w:r>
      <w:r>
        <w:rPr>
          <w:b/>
          <w:sz w:val="24"/>
        </w:rPr>
        <w:t>COMPANY, INC.</w:t>
      </w:r>
    </w:p>
    <w:p>
      <w:pPr>
        <w:pStyle w:val="Normal"/>
        <w:tabs>
          <w:tab w:val="clear" w:pos="720"/>
          <w:tab w:val="left" w:pos="1080" w:leader="none"/>
        </w:tabs>
        <w:ind w:firstLine="720" w:end="0"/>
        <w:rPr>
          <w:sz w:val="24"/>
        </w:rPr>
      </w:pPr>
      <w:r>
        <w:rPr>
          <w:sz w:val="24"/>
        </w:rPr>
        <w:tab/>
        <w:t xml:space="preserve">COMPANY, INC, its Managing </w:t>
      </w:r>
    </w:p>
    <w:p>
      <w:pPr>
        <w:pStyle w:val="Normal"/>
        <w:tabs>
          <w:tab w:val="clear" w:pos="720"/>
          <w:tab w:val="left" w:pos="1080" w:leader="none"/>
        </w:tabs>
        <w:ind w:firstLine="720" w:end="0"/>
        <w:rPr>
          <w:sz w:val="24"/>
        </w:rPr>
      </w:pPr>
      <w:r>
        <w:rPr>
          <w:sz w:val="24"/>
        </w:rPr>
        <w:tab/>
        <w:t>Member</w:t>
      </w:r>
    </w:p>
    <w:p>
      <w:pPr>
        <w:pStyle w:val="Normal"/>
        <w:jc w:val="both"/>
        <w:rPr>
          <w:sz w:val="24"/>
        </w:rPr>
      </w:pPr>
      <w:r>
        <w:rPr>
          <w:sz w:val="24"/>
        </w:rPr>
      </w:r>
    </w:p>
    <w:p>
      <w:pPr>
        <w:pStyle w:val="Normal"/>
        <w:jc w:val="both"/>
        <w:rPr>
          <w:sz w:val="24"/>
        </w:rPr>
      </w:pPr>
      <w:r>
        <w:rPr>
          <w:sz w:val="24"/>
        </w:rPr>
        <w:t>By:</w:t>
      </w:r>
      <w:r>
        <w:rPr>
          <w:sz w:val="24"/>
          <w:u w:val="single"/>
        </w:rPr>
        <w:tab/>
        <w:tab/>
        <w:tab/>
        <w:tab/>
        <w:tab/>
        <w:tab/>
      </w:r>
      <w:r>
        <w:rPr>
          <w:sz w:val="24"/>
        </w:rPr>
        <w:tab/>
        <w:t>By:</w:t>
      </w:r>
      <w:r>
        <w:rPr>
          <w:sz w:val="24"/>
          <w:u w:val="single"/>
        </w:rPr>
        <w:tab/>
        <w:tab/>
        <w:tab/>
        <w:tab/>
        <w:tab/>
      </w:r>
    </w:p>
    <w:p>
      <w:pPr>
        <w:pStyle w:val="Normal"/>
        <w:jc w:val="both"/>
        <w:rPr>
          <w:sz w:val="24"/>
        </w:rPr>
      </w:pPr>
      <w:r>
        <w:rPr>
          <w:sz w:val="24"/>
        </w:rPr>
        <w:t>Title</w:t>
      </w:r>
      <w:r>
        <w:rPr>
          <w:sz w:val="24"/>
          <w:u w:val="single"/>
        </w:rPr>
        <w:t>:</w:t>
        <w:tab/>
        <w:t>_______</w:t>
        <w:tab/>
        <w:tab/>
        <w:tab/>
        <w:tab/>
      </w:r>
      <w:r>
        <w:rPr>
          <w:sz w:val="24"/>
        </w:rPr>
        <w:tab/>
        <w:t>Title:</w:t>
      </w:r>
      <w:r>
        <w:rPr>
          <w:sz w:val="24"/>
          <w:u w:val="single"/>
        </w:rPr>
        <w:tab/>
        <w:tab/>
        <w:tab/>
        <w:tab/>
        <w:tab/>
      </w:r>
    </w:p>
    <w:p>
      <w:pPr>
        <w:pStyle w:val="Normal"/>
        <w:jc w:val="both"/>
        <w:rPr/>
      </w:pPr>
      <w:r>
        <w:rPr>
          <w:sz w:val="24"/>
        </w:rPr>
        <w:t>Date:</w:t>
      </w:r>
      <w:r>
        <w:rPr>
          <w:sz w:val="24"/>
          <w:u w:val="single"/>
        </w:rPr>
        <w:tab/>
        <w:tab/>
        <w:tab/>
        <w:tab/>
        <w:tab/>
        <w:tab/>
      </w:r>
      <w:r>
        <w:rPr>
          <w:sz w:val="24"/>
        </w:rPr>
        <w:tab/>
        <w:t>Date:</w:t>
      </w:r>
      <w:r>
        <w:rPr>
          <w:sz w:val="24"/>
          <w:u w:val="single"/>
        </w:rPr>
        <w:tab/>
        <w:tab/>
        <w:tab/>
        <w:tab/>
        <w:tab/>
      </w:r>
    </w:p>
    <w:p>
      <w:pPr>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pStyle w:val="Normal"/>
        <w:rPr>
          <w:sz w:val="24"/>
          <w:u w:val="single"/>
        </w:rPr>
      </w:pPr>
      <w:r>
        <w:rPr>
          <w:sz w:val="24"/>
          <w:u w:val="single"/>
        </w:rPr>
      </w:r>
    </w:p>
    <w:p>
      <w:pPr>
        <w:pStyle w:val="Normal"/>
        <w:rPr>
          <w:sz w:val="24"/>
        </w:rPr>
      </w:pPr>
      <w:r>
        <w:rPr>
          <w:sz w:val="24"/>
        </w:rPr>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rPr>
      </w:pPr>
      <w:r>
        <w:rPr>
          <w:b/>
        </w:rPr>
        <w:t>EXHIBIT A</w:t>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rPr>
      </w:pPr>
      <w:r>
        <w:rPr>
          <w:b/>
        </w:rPr>
        <w:t>To the Facilities Construction Agreement</w:t>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rPr>
      </w:pPr>
      <w:r>
        <w:rPr>
          <w:b/>
        </w:rPr>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u w:val="single"/>
        </w:rPr>
      </w:pPr>
      <w:r>
        <w:rPr>
          <w:b/>
          <w:u w:val="single"/>
        </w:rPr>
        <w:t>COLLECTION FACILITIES LAYOUT</w:t>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jc w:val="center"/>
        <w:rPr>
          <w:b/>
          <w:u w:val="single"/>
        </w:rPr>
      </w:pPr>
      <w:r>
        <w:rPr>
          <w:b/>
          <w:u w:val="single"/>
        </w:rPr>
      </w:r>
    </w:p>
    <w:p>
      <w:pPr>
        <w:pStyle w:val="Legal2"/>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firstLine="720" w:end="0"/>
        <w:rPr>
          <w:b/>
          <w:u w:val="single"/>
        </w:rPr>
      </w:pPr>
      <w:r>
        <w:rPr>
          <w:b/>
          <w:u w:val="single"/>
        </w:rPr>
        <w:t>[This Exhibit shall be a detailed map depicting the wellhead(s) from which the Collection Facilities run, the pipeline size, the compressor station layout, and all required interconnections.  It shall also include construction and material specification.  This Exhibit will be updated by Independent as the well locations are identified and completed and the system is configured.]</w:t>
      </w:r>
    </w:p>
    <w:p>
      <w:pPr>
        <w:pStyle w:val="Normal"/>
        <w:rPr>
          <w:b/>
          <w:sz w:val="24"/>
          <w:u w:val="single"/>
        </w:rPr>
      </w:pPr>
      <w:r>
        <w:rPr>
          <w:b/>
          <w:sz w:val="24"/>
          <w:u w:val="single"/>
        </w:rPr>
      </w:r>
    </w:p>
    <w:sectPr>
      <w:footerReference w:type="default" r:id="rId4"/>
      <w:footerReference w:type="first" r:id="rId5"/>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Section %1."/>
      <w:lvlJc w:val="start"/>
      <w:pPr>
        <w:tabs>
          <w:tab w:val="num" w:pos="0"/>
        </w:tabs>
        <w:ind w:start="0" w:hanging="0"/>
      </w:pPr>
    </w:lvl>
    <w:lvl w:ilvl="1">
      <w:start w:val="1"/>
      <w:pStyle w:val="Heading2"/>
      <w:numFmt w:val="decimal"/>
      <w:lvlText w:val="Section %1.%2"/>
      <w:lvlJc w:val="start"/>
      <w:pPr>
        <w:tabs>
          <w:tab w:val="num" w:pos="1584"/>
        </w:tabs>
        <w:ind w:start="0" w:hanging="0"/>
      </w:pPr>
    </w:lvl>
    <w:lvl w:ilvl="2">
      <w:start w:val="1"/>
      <w:pStyle w:val="Heading3"/>
      <w:numFmt w:val="lowerLetter"/>
      <w:lvlText w:val="%3."/>
      <w:lvlJc w:val="start"/>
      <w:pPr>
        <w:tabs>
          <w:tab w:val="num" w:pos="720"/>
        </w:tabs>
        <w:ind w:start="0" w:hanging="0"/>
      </w:pPr>
    </w:lvl>
    <w:lvl w:ilvl="3">
      <w:start w:val="1"/>
      <w:pStyle w:val="Heading4"/>
      <w:numFmt w:val="lowerRoman"/>
      <w:lvlText w:val="%4."/>
      <w:lvlJc w:val="start"/>
      <w:pPr>
        <w:tabs>
          <w:tab w:val="num" w:pos="720"/>
        </w:tabs>
        <w:ind w:start="0" w:hanging="0"/>
      </w:pPr>
    </w:lvl>
    <w:lvl w:ilvl="4">
      <w:start w:val="1"/>
      <w:pStyle w:val="Heading5"/>
      <w:numFmt w:val="decimal"/>
      <w:lvlText w:val="(%5)"/>
      <w:lvlJc w:val="start"/>
      <w:pPr>
        <w:tabs>
          <w:tab w:val="num" w:pos="720"/>
        </w:tabs>
        <w:ind w:start="0" w:hanging="0"/>
      </w:pPr>
    </w:lvl>
    <w:lvl w:ilvl="5">
      <w:start w:val="1"/>
      <w:pStyle w:val="Heading6"/>
      <w:numFmt w:val="lowerLetter"/>
      <w:lvlText w:val="(%6)"/>
      <w:lvlJc w:val="start"/>
      <w:pPr>
        <w:tabs>
          <w:tab w:val="num" w:pos="720"/>
        </w:tabs>
        <w:ind w:start="0" w:hanging="0"/>
      </w:pPr>
      <w:rPr>
        <w:dstrike w:val="false"/>
        <w:strike w:val="false"/>
      </w:r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0" w:after="60"/>
      <w:outlineLvl w:val="0"/>
    </w:pPr>
    <w:rPr>
      <w:rFonts w:ascii="Arial" w:hAnsi="Arial" w:cs="Arial"/>
      <w:i/>
      <w:vanish/>
      <w:color w:val="0000FF"/>
      <w:spacing w:val="10"/>
      <w:sz w:val="24"/>
    </w:rPr>
  </w:style>
  <w:style w:type="paragraph" w:styleId="Heading2">
    <w:name w:val="heading 2"/>
    <w:basedOn w:val="Normal"/>
    <w:next w:val="BodyText"/>
    <w:qFormat/>
    <w:pPr>
      <w:numPr>
        <w:ilvl w:val="1"/>
        <w:numId w:val="1"/>
      </w:numPr>
      <w:spacing w:before="0" w:after="240"/>
      <w:ind w:firstLine="720" w:start="0" w:end="0"/>
      <w:jc w:val="both"/>
      <w:outlineLvl w:val="1"/>
    </w:pPr>
    <w:rPr>
      <w:spacing w:val="10"/>
      <w:sz w:val="24"/>
    </w:rPr>
  </w:style>
  <w:style w:type="paragraph" w:styleId="Heading3">
    <w:name w:val="heading 3"/>
    <w:basedOn w:val="Normal"/>
    <w:next w:val="BodyText"/>
    <w:qFormat/>
    <w:pPr>
      <w:numPr>
        <w:ilvl w:val="2"/>
        <w:numId w:val="1"/>
      </w:numPr>
      <w:spacing w:before="0" w:after="240"/>
      <w:ind w:firstLine="720" w:start="720" w:end="0"/>
      <w:jc w:val="both"/>
      <w:outlineLvl w:val="2"/>
    </w:pPr>
    <w:rPr>
      <w:spacing w:val="10"/>
      <w:sz w:val="24"/>
    </w:rPr>
  </w:style>
  <w:style w:type="paragraph" w:styleId="Heading4">
    <w:name w:val="heading 4"/>
    <w:basedOn w:val="Normal"/>
    <w:next w:val="BodyText"/>
    <w:qFormat/>
    <w:pPr>
      <w:numPr>
        <w:ilvl w:val="3"/>
        <w:numId w:val="1"/>
      </w:numPr>
      <w:spacing w:before="0" w:after="240"/>
      <w:ind w:firstLine="720" w:start="1440" w:end="0"/>
      <w:jc w:val="both"/>
      <w:outlineLvl w:val="3"/>
    </w:pPr>
    <w:rPr>
      <w:spacing w:val="10"/>
      <w:sz w:val="24"/>
    </w:rPr>
  </w:style>
  <w:style w:type="paragraph" w:styleId="Heading5">
    <w:name w:val="heading 5"/>
    <w:basedOn w:val="Normal"/>
    <w:next w:val="BodyText"/>
    <w:qFormat/>
    <w:pPr>
      <w:numPr>
        <w:ilvl w:val="4"/>
        <w:numId w:val="1"/>
      </w:numPr>
      <w:spacing w:before="0" w:after="240"/>
      <w:ind w:firstLine="3240" w:start="0" w:end="0"/>
      <w:outlineLvl w:val="4"/>
    </w:pPr>
    <w:rPr>
      <w:spacing w:val="10"/>
      <w:sz w:val="24"/>
    </w:rPr>
  </w:style>
  <w:style w:type="paragraph" w:styleId="Heading6">
    <w:name w:val="heading 6"/>
    <w:basedOn w:val="Normal"/>
    <w:next w:val="BodyText"/>
    <w:qFormat/>
    <w:pPr>
      <w:numPr>
        <w:ilvl w:val="5"/>
        <w:numId w:val="1"/>
      </w:numPr>
      <w:spacing w:before="0" w:after="240"/>
      <w:ind w:firstLine="4050" w:start="0" w:end="0"/>
      <w:outlineLvl w:val="5"/>
    </w:pPr>
    <w:rPr>
      <w:spacing w:val="10"/>
      <w:sz w:val="24"/>
    </w:rPr>
  </w:style>
  <w:style w:type="paragraph" w:styleId="Heading7">
    <w:name w:val="heading 7"/>
    <w:basedOn w:val="Normal"/>
    <w:next w:val="BodyText"/>
    <w:qFormat/>
    <w:pPr>
      <w:numPr>
        <w:ilvl w:val="6"/>
        <w:numId w:val="1"/>
      </w:numPr>
      <w:spacing w:before="0" w:after="240"/>
      <w:outlineLvl w:val="6"/>
    </w:pPr>
    <w:rPr>
      <w:spacing w:val="10"/>
      <w:sz w:val="24"/>
    </w:rPr>
  </w:style>
  <w:style w:type="paragraph" w:styleId="Heading8">
    <w:name w:val="heading 8"/>
    <w:basedOn w:val="Normal"/>
    <w:next w:val="BodyText"/>
    <w:qFormat/>
    <w:pPr>
      <w:numPr>
        <w:ilvl w:val="7"/>
        <w:numId w:val="1"/>
      </w:numPr>
      <w:spacing w:before="0" w:after="240"/>
      <w:outlineLvl w:val="7"/>
    </w:pPr>
    <w:rPr>
      <w:spacing w:val="10"/>
      <w:sz w:val="24"/>
    </w:rPr>
  </w:style>
  <w:style w:type="paragraph" w:styleId="Heading9">
    <w:name w:val="heading 9"/>
    <w:basedOn w:val="Normal"/>
    <w:next w:val="BodyText"/>
    <w:qFormat/>
    <w:pPr>
      <w:numPr>
        <w:ilvl w:val="8"/>
        <w:numId w:val="1"/>
      </w:numPr>
      <w:spacing w:before="0" w:after="240"/>
      <w:outlineLvl w:val="8"/>
    </w:pPr>
    <w:rPr>
      <w:spacing w:val="10"/>
      <w:sz w:val="24"/>
    </w:rPr>
  </w:style>
  <w:style w:type="character" w:styleId="WW8Num1z5">
    <w:name w:val="WW8Num1z5"/>
    <w:qFormat/>
    <w:rPr>
      <w:strike w:val="false"/>
      <w:dstrike w:val="fals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spacing w:before="0" w:after="240"/>
      <w:ind w:firstLine="720" w:start="0" w:end="0"/>
      <w:jc w:val="both"/>
    </w:pPr>
    <w:rPr>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Legal2">
    <w:name w:val="Legal 2"/>
    <w:qFormat/>
    <w:pPr>
      <w:widowControl w:val="false"/>
      <w:bidi w:val="0"/>
    </w:pPr>
    <w:rPr>
      <w:rFonts w:ascii="Times New Roman" w:hAnsi="Times New Roman" w:eastAsia="Times New Roman" w:cs="Times New Roman"/>
      <w:color w:val="auto"/>
      <w:sz w:val="24"/>
      <w:szCs w:val="20"/>
      <w:lang w:val="en-US"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2000-04-17T16:36:00Z</dcterms:created>
  <dc:creator>gnemec</dc:creator>
  <dc:description/>
  <dc:language>en-CA</dc:language>
  <cp:lastModifiedBy>gnemec</cp:lastModifiedBy>
  <cp:lastPrinted>1999-08-25T18:50:00Z</cp:lastPrinted>
  <dcterms:modified xsi:type="dcterms:W3CDTF">2000-04-17T16:36:00Z</dcterms:modified>
  <cp:revision>2</cp:revision>
  <dc:subject/>
  <dc:title>FACILITIES CONSTRUCTION AGREEMENT</dc:title>
</cp:coreProperties>
</file>