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FACILITIES CONSTRUCTION AGREEMENT</w:t>
      </w:r>
    </w:p>
    <w:p>
      <w:pPr>
        <w:pStyle w:val="Normal"/>
        <w:jc w:val="center"/>
        <w:rPr>
          <w:b/>
          <w:sz w:val="24"/>
        </w:rPr>
      </w:pPr>
      <w:r>
        <w:rPr>
          <w:b/>
          <w:sz w:val="24"/>
        </w:rPr>
      </w:r>
    </w:p>
    <w:p>
      <w:pPr>
        <w:pStyle w:val="Normal"/>
        <w:jc w:val="center"/>
        <w:rPr>
          <w:b/>
          <w:sz w:val="24"/>
        </w:rPr>
      </w:pPr>
      <w:r>
        <w:rPr>
          <w:b/>
          <w:sz w:val="24"/>
        </w:rPr>
      </w:r>
    </w:p>
    <w:p>
      <w:pPr>
        <w:pStyle w:val="Normal"/>
        <w:jc w:val="both"/>
        <w:rPr/>
      </w:pPr>
      <w:r>
        <w:rPr>
          <w:sz w:val="24"/>
        </w:rPr>
        <w:tab/>
        <w:t>This Facilities Construction Agreement (this "</w:t>
      </w:r>
      <w:r>
        <w:rPr>
          <w:sz w:val="24"/>
          <w:u w:val="single"/>
        </w:rPr>
        <w:t>Agreement</w:t>
      </w:r>
      <w:r>
        <w:rPr>
          <w:sz w:val="24"/>
        </w:rPr>
        <w:t>"), is entered into and made effective this _____ day of August, 1999 (the "</w:t>
      </w:r>
      <w:r>
        <w:rPr>
          <w:sz w:val="24"/>
          <w:u w:val="single"/>
        </w:rPr>
        <w:t>Effective Date</w:t>
      </w:r>
      <w:r>
        <w:rPr>
          <w:sz w:val="24"/>
        </w:rPr>
        <w:t>"), between Sapphire Bay, L.L.C.,</w:t>
      </w:r>
      <w:r>
        <w:rPr>
          <w:b/>
          <w:sz w:val="24"/>
        </w:rPr>
        <w:t xml:space="preserve"> </w:t>
      </w:r>
      <w:r>
        <w:rPr>
          <w:sz w:val="24"/>
        </w:rPr>
        <w:t>a Delaware limited liability company ("</w:t>
      </w:r>
      <w:r>
        <w:rPr>
          <w:sz w:val="24"/>
          <w:u w:val="single"/>
        </w:rPr>
        <w:t>SBLLC</w:t>
      </w:r>
      <w:r>
        <w:rPr>
          <w:sz w:val="24"/>
        </w:rPr>
        <w:t>") and Independent Production Company, Inc. ("</w:t>
      </w:r>
      <w:r>
        <w:rPr>
          <w:sz w:val="24"/>
          <w:u w:val="single"/>
        </w:rPr>
        <w:t>Independent</w:t>
      </w:r>
      <w:r>
        <w:rPr>
          <w:sz w:val="24"/>
        </w:rPr>
        <w:t>") (SBLLC and Independent are each referred to as a "</w:t>
      </w:r>
      <w:r>
        <w:rPr>
          <w:sz w:val="24"/>
          <w:u w:val="single"/>
        </w:rPr>
        <w:t>Party</w:t>
      </w:r>
      <w:r>
        <w:rPr>
          <w:sz w:val="24"/>
        </w:rPr>
        <w:t>" and collectively as the "</w:t>
      </w:r>
      <w:r>
        <w:rPr>
          <w:sz w:val="24"/>
          <w:u w:val="single"/>
        </w:rPr>
        <w:t>Parties</w:t>
      </w:r>
      <w:r>
        <w:rPr>
          <w:sz w:val="24"/>
        </w:rPr>
        <w:t>").</w:t>
      </w:r>
    </w:p>
    <w:p>
      <w:pPr>
        <w:pStyle w:val="Normal"/>
        <w:jc w:val="both"/>
        <w:rPr>
          <w:sz w:val="24"/>
        </w:rPr>
      </w:pPr>
      <w:r>
        <w:rPr>
          <w:sz w:val="24"/>
        </w:rPr>
      </w:r>
    </w:p>
    <w:p>
      <w:pPr>
        <w:pStyle w:val="Normal"/>
        <w:jc w:val="center"/>
        <w:rPr/>
      </w:pPr>
      <w:r>
        <w:rPr>
          <w:b/>
          <w:sz w:val="24"/>
          <w:u w:val="single"/>
        </w:rPr>
        <w:t>W I T N E S S E T H</w:t>
      </w:r>
      <w:r>
        <w:rPr>
          <w:b/>
          <w:sz w:val="24"/>
        </w:rPr>
        <w:t>:</w:t>
      </w:r>
    </w:p>
    <w:p>
      <w:pPr>
        <w:pStyle w:val="Normal"/>
        <w:jc w:val="center"/>
        <w:rPr>
          <w:b/>
          <w:sz w:val="24"/>
        </w:rPr>
      </w:pPr>
      <w:r>
        <w:rPr>
          <w:b/>
          <w:sz w:val="24"/>
        </w:rPr>
      </w:r>
    </w:p>
    <w:p>
      <w:pPr>
        <w:pStyle w:val="Normal"/>
        <w:jc w:val="both"/>
        <w:rPr/>
      </w:pPr>
      <w:r>
        <w:rPr>
          <w:b/>
          <w:sz w:val="24"/>
        </w:rPr>
        <w:tab/>
        <w:t>WHEREAS</w:t>
      </w:r>
      <w:r>
        <w:rPr>
          <w:sz w:val="24"/>
        </w:rPr>
        <w:t>, SBLLC owns or controls certain coal bed methane reserves in the Pronghorn Creek Area of the Powder River Basin in Wyoming (the "</w:t>
      </w:r>
      <w:r>
        <w:rPr>
          <w:sz w:val="24"/>
          <w:u w:val="single"/>
        </w:rPr>
        <w:t>Reserves</w:t>
      </w:r>
      <w:r>
        <w:rPr>
          <w:sz w:val="24"/>
        </w:rPr>
        <w:t xml:space="preserve">"); </w:t>
      </w:r>
    </w:p>
    <w:p>
      <w:pPr>
        <w:pStyle w:val="Normal"/>
        <w:jc w:val="both"/>
        <w:rPr>
          <w:sz w:val="24"/>
        </w:rPr>
      </w:pPr>
      <w:r>
        <w:rPr>
          <w:sz w:val="24"/>
        </w:rPr>
      </w:r>
    </w:p>
    <w:p>
      <w:pPr>
        <w:pStyle w:val="Normal"/>
        <w:ind w:firstLine="720" w:end="0"/>
        <w:jc w:val="both"/>
        <w:rPr/>
      </w:pPr>
      <w:r>
        <w:rPr>
          <w:b/>
          <w:sz w:val="24"/>
        </w:rPr>
        <w:t>WHEREAS</w:t>
      </w:r>
      <w:r>
        <w:rPr>
          <w:sz w:val="24"/>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sz w:val="24"/>
          <w:u w:val="single"/>
        </w:rPr>
        <w:t>Fort Union Header</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sz w:val="24"/>
          <w:u w:val="single"/>
        </w:rPr>
        <w:t>Collection Facilities</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Independent desires to design, construct, and install the Collection Facilities in accordance with the terms of this Agreement.</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premises and the mutual covenants and agreements herein contained, the parties hereto agree as follows:</w:t>
      </w:r>
    </w:p>
    <w:p>
      <w:pPr>
        <w:pStyle w:val="Heading2"/>
        <w:numPr>
          <w:ilvl w:val="0"/>
          <w:numId w:val="0"/>
        </w:numPr>
        <w:ind w:hanging="0" w:start="0"/>
        <w:rPr>
          <w:sz w:val="24"/>
        </w:rPr>
      </w:pPr>
      <w:r>
        <w:rPr>
          <w:sz w:val="24"/>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of even date herewith (the "</w:t>
      </w:r>
      <w:r>
        <w:rPr>
          <w:u w:val="single"/>
        </w:rPr>
        <w:t>Field Services Agreement</w:t>
      </w:r>
      <w:r>
        <w:rPr/>
        <w:t>").  The layout of the Collection Facilities and construction and material specifications shall be as set forth on Exhibit A hereto.  Exhibit A hereto shall be provided and updated by Independent to reflect any material changes 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sz w:val="24"/>
        </w:rPr>
        <w:tab/>
        <w:t>3.</w:t>
        <w:tab/>
      </w:r>
      <w:r>
        <w:rPr>
          <w:sz w:val="24"/>
          <w:u w:val="single"/>
        </w:rPr>
        <w:t>Term</w:t>
      </w:r>
      <w:r>
        <w:rPr>
          <w:sz w:val="24"/>
        </w:rPr>
        <w:t>.</w:t>
        <w:tab/>
        <w:t>This Agreement shall commence on the Effective Date and shall continue until final acceptance of the Work by SBLLC.</w:t>
      </w:r>
    </w:p>
    <w:p>
      <w:pPr>
        <w:pStyle w:val="Normal"/>
        <w:rPr>
          <w:sz w:val="24"/>
        </w:rPr>
      </w:pPr>
      <w:r>
        <w:rPr>
          <w:sz w:val="24"/>
        </w:rPr>
      </w:r>
    </w:p>
    <w:p>
      <w:pPr>
        <w:pStyle w:val="Normal"/>
        <w:jc w:val="both"/>
        <w:rPr/>
      </w:pPr>
      <w:r>
        <w:rPr>
          <w:sz w:val="24"/>
        </w:rPr>
        <w:tab/>
        <w:t>4.</w:t>
        <w:tab/>
      </w:r>
      <w:r>
        <w:rPr>
          <w:sz w:val="24"/>
          <w:u w:val="single"/>
        </w:rPr>
        <w:t>Standards</w:t>
      </w:r>
      <w:r>
        <w:rPr>
          <w:sz w:val="24"/>
        </w:rPr>
        <w:t>.</w:t>
        <w:tab/>
        <w:t>Independent shall perform the Work in accordance with prudent engineering standards generally acceptable within the industry.</w:t>
      </w:r>
    </w:p>
    <w:p>
      <w:pPr>
        <w:pStyle w:val="Normal"/>
        <w:jc w:val="both"/>
        <w:rPr>
          <w:sz w:val="24"/>
        </w:rPr>
      </w:pPr>
      <w:r>
        <w:rPr>
          <w:sz w:val="24"/>
        </w:rPr>
      </w:r>
    </w:p>
    <w:p>
      <w:pPr>
        <w:pStyle w:val="Normal"/>
        <w:jc w:val="both"/>
        <w:rPr/>
      </w:pPr>
      <w:r>
        <w:rPr>
          <w:sz w:val="24"/>
        </w:rPr>
        <w:tab/>
        <w:t xml:space="preserve">5.  </w:t>
        <w:tab/>
      </w:r>
      <w:r>
        <w:rPr>
          <w:sz w:val="24"/>
          <w:u w:val="single"/>
        </w:rPr>
        <w:t>Contract Price</w:t>
      </w:r>
      <w:r>
        <w:rPr>
          <w:sz w:val="24"/>
        </w:rPr>
        <w:t>.  SBLLC shall pay to Independent all direct costs and expenses incurred by Independent in performing the Work up to and not to exceed an amount of $750,000 (the "</w:t>
      </w:r>
      <w:r>
        <w:rPr>
          <w:sz w:val="24"/>
          <w:u w:val="single"/>
        </w:rPr>
        <w:t>Contract Price</w:t>
      </w:r>
      <w:r>
        <w:rPr>
          <w:sz w:val="24"/>
        </w:rPr>
        <w:t xml:space="preserve">").  All cost and expenses incurred by Independent in excess of $750,000 to complete the Work shall be borne by Independent, unless otherwise mutually agreed by the Parties in writing. </w:t>
      </w:r>
    </w:p>
    <w:p>
      <w:pPr>
        <w:pStyle w:val="Normal"/>
        <w:jc w:val="both"/>
        <w:rPr>
          <w:sz w:val="24"/>
        </w:rPr>
      </w:pPr>
      <w:r>
        <w:rPr>
          <w:sz w:val="24"/>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sz w:val="24"/>
        </w:rPr>
        <w:tab/>
        <w:t>7.</w:t>
        <w:tab/>
      </w:r>
      <w:r>
        <w:rPr>
          <w:sz w:val="24"/>
          <w:u w:val="single"/>
        </w:rPr>
        <w:t>Easements</w:t>
      </w:r>
      <w:r>
        <w:rPr>
          <w:sz w:val="24"/>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sz w:val="24"/>
        </w:rPr>
      </w:pPr>
      <w:r>
        <w:rPr>
          <w:sz w:val="24"/>
        </w:rPr>
      </w:r>
    </w:p>
    <w:p>
      <w:pPr>
        <w:pStyle w:val="Normal"/>
        <w:jc w:val="both"/>
        <w:rPr/>
      </w:pPr>
      <w:r>
        <w:rPr>
          <w:sz w:val="24"/>
        </w:rPr>
        <w:tab/>
        <w:t>8.</w:t>
        <w:tab/>
      </w:r>
      <w:r>
        <w:rPr>
          <w:sz w:val="24"/>
          <w:u w:val="single"/>
        </w:rPr>
        <w:t>Subcontracting</w:t>
      </w:r>
      <w:r>
        <w:rPr>
          <w:sz w:val="24"/>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p>
    <w:p>
      <w:pPr>
        <w:pStyle w:val="Heading2"/>
        <w:numPr>
          <w:ilvl w:val="0"/>
          <w:numId w:val="0"/>
        </w:numPr>
        <w:spacing w:before="0" w:after="0"/>
        <w:ind w:firstLine="720" w:start="0" w:end="0"/>
        <w:rPr>
          <w:sz w:val="24"/>
        </w:rPr>
      </w:pPr>
      <w:r>
        <w:rPr>
          <w:sz w:val="24"/>
        </w:rPr>
      </w:r>
    </w:p>
    <w:p>
      <w:pPr>
        <w:pStyle w:val="Heading2"/>
        <w:numPr>
          <w:ilvl w:val="0"/>
          <w:numId w:val="0"/>
        </w:numPr>
        <w:ind w:firstLine="720" w:start="0" w:end="0"/>
        <w:rPr>
          <w:b/>
        </w:rPr>
      </w:pPr>
      <w:r>
        <w:rPr/>
        <w:t>9.</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sz w:val="24"/>
        </w:rPr>
        <w:tab/>
        <w:t xml:space="preserve">10. </w:t>
        <w:tab/>
      </w:r>
      <w:r>
        <w:rPr>
          <w:sz w:val="24"/>
          <w:u w:val="single"/>
        </w:rPr>
        <w:t>Taxes</w:t>
      </w:r>
      <w:r>
        <w:rPr>
          <w:sz w:val="24"/>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sz w:val="24"/>
        </w:rPr>
      </w:pPr>
      <w:r>
        <w:rPr>
          <w:sz w:val="24"/>
        </w:rPr>
      </w:r>
    </w:p>
    <w:p>
      <w:pPr>
        <w:pStyle w:val="Heading2"/>
        <w:numPr>
          <w:ilvl w:val="0"/>
          <w:numId w:val="0"/>
        </w:numPr>
        <w:ind w:firstLine="720" w:start="0" w:end="0"/>
        <w:rPr/>
      </w:pPr>
      <w:r>
        <w:rPr/>
        <w:t>11.</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12.</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13.</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14.</w:t>
        <w:tab/>
      </w:r>
      <w:r>
        <w:rPr>
          <w:b/>
          <w:u w:val="single"/>
        </w:rPr>
        <w:t>Limitation of Damage Recovery</w:t>
      </w:r>
      <w:r>
        <w:rPr>
          <w:b/>
        </w:rPr>
        <w:t>.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sz w:val="24"/>
        </w:rPr>
        <w:t>15.</w:t>
        <w:tab/>
      </w:r>
      <w:r>
        <w:rPr>
          <w:sz w:val="24"/>
          <w:u w:val="single"/>
        </w:rPr>
        <w:t>Notices and Statements</w:t>
      </w:r>
      <w:r>
        <w:rPr>
          <w:sz w:val="24"/>
        </w:rPr>
        <w:t xml:space="preserve">. </w:t>
      </w:r>
      <w:r>
        <w:rPr>
          <w:b/>
          <w:sz w:val="24"/>
        </w:rPr>
        <w:t xml:space="preserve"> </w:t>
      </w:r>
      <w:r>
        <w:rPr>
          <w:sz w:val="24"/>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sz w:val="24"/>
          <w:lang w:eastAsia="en-US"/>
        </w:rPr>
      </w:pPr>
      <w:r>
        <w:rPr>
          <w:sz w:val="24"/>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sz w:val="24"/>
              </w:rPr>
            </w:pPr>
            <w:r>
              <w:rPr>
                <w:sz w:val="24"/>
              </w:rPr>
              <w:t>SBLLC:</w:t>
            </w:r>
          </w:p>
          <w:p>
            <w:pPr>
              <w:pStyle w:val="Normal"/>
              <w:ind w:hanging="720" w:start="720" w:end="0"/>
              <w:jc w:val="both"/>
              <w:rPr>
                <w:sz w:val="24"/>
              </w:rPr>
            </w:pPr>
            <w:r>
              <w:rPr>
                <w:sz w:val="24"/>
              </w:rPr>
            </w:r>
          </w:p>
          <w:p>
            <w:pPr>
              <w:pStyle w:val="Normal"/>
              <w:keepNext w:val="true"/>
              <w:rPr/>
            </w:pPr>
            <w:r>
              <w:rPr>
                <w:b/>
                <w:sz w:val="24"/>
              </w:rPr>
              <w:t xml:space="preserve">Independent Production Company, Inc. </w:t>
            </w:r>
            <w:r>
              <w:rPr>
                <w:sz w:val="24"/>
              </w:rPr>
              <w:t xml:space="preserve">as Managing Member of </w:t>
              <w:br/>
              <w:t>Sapphire Bay, L.L.C.,</w:t>
            </w:r>
          </w:p>
          <w:p>
            <w:pPr>
              <w:pStyle w:val="Normal"/>
              <w:keepNext w:val="true"/>
              <w:ind w:start="259" w:end="0"/>
              <w:rPr/>
            </w:pPr>
            <w:r>
              <w:rPr>
                <w:sz w:val="24"/>
              </w:rPr>
              <w:t>410 – 17</w:t>
            </w:r>
            <w:r>
              <w:rPr>
                <w:sz w:val="24"/>
                <w:vertAlign w:val="superscript"/>
              </w:rPr>
              <w:t>th</w:t>
            </w:r>
            <w:r>
              <w:rPr>
                <w:sz w:val="24"/>
              </w:rPr>
              <w:t xml:space="preserve"> St., Suite 570 </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spacing w:before="120" w:after="0"/>
              <w:rPr>
                <w:sz w:val="24"/>
              </w:rPr>
            </w:pPr>
            <w:r>
              <w:rPr>
                <w:sz w:val="24"/>
              </w:rPr>
            </w:r>
          </w:p>
          <w:p>
            <w:pPr>
              <w:pStyle w:val="Normal"/>
              <w:rPr>
                <w:sz w:val="24"/>
              </w:rPr>
            </w:pPr>
            <w:r>
              <w:rPr>
                <w:sz w:val="24"/>
              </w:rPr>
            </w:r>
          </w:p>
        </w:tc>
        <w:tc>
          <w:tcPr>
            <w:tcW w:w="4788" w:type="dxa"/>
            <w:tcBorders/>
          </w:tcPr>
          <w:p>
            <w:pPr>
              <w:pStyle w:val="Normal"/>
              <w:rPr>
                <w:sz w:val="24"/>
              </w:rPr>
            </w:pPr>
            <w:r>
              <w:rPr>
                <w:sz w:val="24"/>
              </w:rPr>
              <w:t>Independent:</w:t>
            </w:r>
          </w:p>
          <w:p>
            <w:pPr>
              <w:pStyle w:val="Normal"/>
              <w:rPr>
                <w:b/>
                <w:sz w:val="24"/>
              </w:rPr>
            </w:pPr>
            <w:r>
              <w:rPr>
                <w:b/>
                <w:sz w:val="24"/>
              </w:rPr>
            </w:r>
          </w:p>
          <w:p>
            <w:pPr>
              <w:pStyle w:val="Normal"/>
              <w:rPr>
                <w:b/>
                <w:sz w:val="24"/>
              </w:rPr>
            </w:pPr>
            <w:r>
              <w:rPr>
                <w:b/>
                <w:sz w:val="24"/>
              </w:rPr>
              <w:t>Independent Production Company, Inc.</w:t>
            </w:r>
          </w:p>
          <w:p>
            <w:pPr>
              <w:pStyle w:val="Normal"/>
              <w:keepNext w:val="true"/>
              <w:ind w:start="259" w:end="0"/>
              <w:rPr/>
            </w:pPr>
            <w:r>
              <w:rPr>
                <w:sz w:val="24"/>
              </w:rPr>
              <w:t>410 – 17</w:t>
            </w:r>
            <w:r>
              <w:rPr>
                <w:sz w:val="24"/>
                <w:vertAlign w:val="superscript"/>
              </w:rPr>
              <w:t>th</w:t>
            </w:r>
            <w:r>
              <w:rPr>
                <w:sz w:val="24"/>
              </w:rPr>
              <w:t xml:space="preserve"> St., Suite 570</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ind w:start="259" w:end="0"/>
              <w:rPr>
                <w:sz w:val="24"/>
              </w:rPr>
            </w:pPr>
            <w:r>
              <w:rPr>
                <w:sz w:val="24"/>
              </w:rPr>
            </w:r>
          </w:p>
          <w:p>
            <w:pPr>
              <w:pStyle w:val="Normal"/>
              <w:rPr>
                <w:sz w:val="24"/>
              </w:rPr>
            </w:pPr>
            <w:r>
              <w:rPr>
                <w:sz w:val="24"/>
              </w:rPr>
              <w:t xml:space="preserve"> </w:t>
            </w:r>
          </w:p>
        </w:tc>
      </w:tr>
    </w:tbl>
    <w:p>
      <w:pPr>
        <w:pStyle w:val="Heading2"/>
        <w:numPr>
          <w:ilvl w:val="0"/>
          <w:numId w:val="0"/>
        </w:numPr>
        <w:ind w:firstLine="720" w:start="0" w:end="0"/>
        <w:rPr/>
      </w:pPr>
      <w:r>
        <w:rPr/>
        <w:t>16.</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sz w:val="24"/>
        </w:rPr>
      </w:pPr>
      <w:r>
        <w:rPr>
          <w:sz w:val="24"/>
        </w:rPr>
      </w:r>
    </w:p>
    <w:p>
      <w:pPr>
        <w:pStyle w:val="Heading2"/>
        <w:numPr>
          <w:ilvl w:val="0"/>
          <w:numId w:val="0"/>
        </w:numPr>
        <w:ind w:firstLine="720" w:start="0" w:end="0"/>
        <w:rPr/>
      </w:pPr>
      <w:r>
        <w:rPr/>
        <w:t>17.</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sz w:val="24"/>
        </w:rPr>
        <w:t>18.</w:t>
        <w:tab/>
      </w:r>
      <w:r>
        <w:rPr>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Denver, Colorado.  Each Party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  Only monetary damages allowed pursuant to this Agreement may be awarded and the arbitrators shall have no authority to award exemplary, punitive, or treble damages of any type under any circumstances regardless of whether such damages may be available under law.</w:t>
      </w:r>
    </w:p>
    <w:p>
      <w:pPr>
        <w:pStyle w:val="Normal"/>
        <w:ind w:firstLine="72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sz w:val="24"/>
        </w:rPr>
        <w:tab/>
        <w:t>19.</w:t>
        <w:tab/>
        <w:tab/>
      </w:r>
      <w:r>
        <w:rPr>
          <w:sz w:val="24"/>
          <w:u w:val="single"/>
        </w:rPr>
        <w:t>Independent Contractor</w:t>
      </w:r>
      <w:r>
        <w:rPr>
          <w:sz w:val="24"/>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 its capacity as a Party to this Agreement,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sz w:val="24"/>
        </w:rPr>
      </w:pPr>
      <w:r>
        <w:rPr>
          <w:sz w:val="24"/>
        </w:rPr>
      </w:r>
    </w:p>
    <w:p>
      <w:pPr>
        <w:pStyle w:val="Heading2"/>
        <w:numPr>
          <w:ilvl w:val="0"/>
          <w:numId w:val="0"/>
        </w:numPr>
        <w:ind w:firstLine="720" w:start="0" w:end="0"/>
        <w:rPr/>
      </w:pPr>
      <w:r>
        <w:rPr/>
        <w:t>20.</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shall not be unreasonably withheld.  Any sale, assignment or transfer in violation of the foregoing provisions shall be void.</w:t>
      </w:r>
    </w:p>
    <w:p>
      <w:pPr>
        <w:pStyle w:val="Normal"/>
        <w:rPr/>
      </w:pPr>
      <w:r>
        <w:rPr>
          <w:sz w:val="24"/>
        </w:rPr>
        <w:tab/>
        <w:t>21.</w:t>
        <w:tab/>
      </w:r>
      <w:r>
        <w:rPr>
          <w:sz w:val="24"/>
          <w:u w:val="single"/>
        </w:rPr>
        <w:t>Survival of Provisons</w:t>
      </w:r>
      <w:r>
        <w:rPr>
          <w:sz w:val="24"/>
        </w:rPr>
        <w:t>.  The terms of Paragraphs 9, 10, 12, 13, and 15 shall survive termination of this Agreement.</w:t>
      </w:r>
    </w:p>
    <w:p>
      <w:pPr>
        <w:pStyle w:val="Normal"/>
        <w:rPr>
          <w:sz w:val="24"/>
        </w:rPr>
      </w:pPr>
      <w:r>
        <w:rPr>
          <w:sz w:val="24"/>
        </w:rPr>
      </w:r>
    </w:p>
    <w:p>
      <w:pPr>
        <w:pStyle w:val="Heading2"/>
        <w:numPr>
          <w:ilvl w:val="0"/>
          <w:numId w:val="0"/>
        </w:numPr>
        <w:ind w:firstLine="720" w:start="0" w:end="0"/>
        <w:rPr/>
      </w:pPr>
      <w:r>
        <w:rPr/>
        <w:t>22.</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23.</w:t>
        <w:tab/>
      </w:r>
      <w:r>
        <w:rPr>
          <w:u w:val="single"/>
        </w:rPr>
        <w:t>Counterparts</w:t>
      </w:r>
      <w:r>
        <w:rPr/>
        <w:t>.  This Agreement may be executed in any number of counterparts, each of which when so executed shall be deemed to be an originally executed copy.</w:t>
      </w:r>
    </w:p>
    <w:p>
      <w:pPr>
        <w:pStyle w:val="Normal"/>
        <w:jc w:val="both"/>
        <w:rPr>
          <w:sz w:val="24"/>
        </w:rPr>
      </w:pPr>
      <w:r>
        <w:rPr>
          <w:sz w:val="24"/>
        </w:rPr>
        <w:tab/>
        <w:t>IN WITNESS WHEREOF, the parties hereto have executed this Agreement as of the date first above written.</w:t>
      </w:r>
    </w:p>
    <w:p>
      <w:pPr>
        <w:pStyle w:val="Normal"/>
        <w:jc w:val="both"/>
        <w:rPr>
          <w:sz w:val="24"/>
        </w:rPr>
      </w:pPr>
      <w:r>
        <w:rPr>
          <w:sz w:val="24"/>
        </w:rPr>
      </w:r>
    </w:p>
    <w:p>
      <w:pPr>
        <w:pStyle w:val="Normal"/>
        <w:ind w:hanging="5040" w:start="5040" w:end="0"/>
        <w:rPr>
          <w:b/>
          <w:sz w:val="24"/>
        </w:rPr>
      </w:pPr>
      <w:r>
        <w:rPr>
          <w:b/>
          <w:sz w:val="24"/>
        </w:rPr>
        <w:t>SAPPHIRE BAY, L.L.C.</w:t>
        <w:tab/>
        <w:t>INDEPENDENT PRODUCTION</w:t>
      </w:r>
    </w:p>
    <w:p>
      <w:pPr>
        <w:pStyle w:val="Normal"/>
        <w:tabs>
          <w:tab w:val="clear" w:pos="720"/>
          <w:tab w:val="left" w:pos="1080" w:leader="none"/>
        </w:tabs>
        <w:ind w:firstLine="720" w:end="0"/>
        <w:rPr>
          <w:sz w:val="24"/>
        </w:rPr>
      </w:pPr>
      <w:r>
        <w:rPr>
          <w:sz w:val="24"/>
        </w:rPr>
        <w:t>by INDEPENDENT PRODUCTION</w:t>
        <w:tab/>
        <w:tab/>
      </w:r>
      <w:r>
        <w:rPr>
          <w:b/>
          <w:sz w:val="24"/>
        </w:rPr>
        <w:t>COMPANY, INC.</w:t>
      </w:r>
    </w:p>
    <w:p>
      <w:pPr>
        <w:pStyle w:val="Normal"/>
        <w:tabs>
          <w:tab w:val="clear" w:pos="720"/>
          <w:tab w:val="left" w:pos="1080" w:leader="none"/>
        </w:tabs>
        <w:ind w:firstLine="720" w:end="0"/>
        <w:rPr>
          <w:sz w:val="24"/>
        </w:rPr>
      </w:pPr>
      <w:r>
        <w:rPr>
          <w:sz w:val="24"/>
        </w:rPr>
        <w:tab/>
        <w:t xml:space="preserve">COMPANY, INC, its Managing </w:t>
      </w:r>
    </w:p>
    <w:p>
      <w:pPr>
        <w:pStyle w:val="Normal"/>
        <w:tabs>
          <w:tab w:val="clear" w:pos="720"/>
          <w:tab w:val="left" w:pos="1080" w:leader="none"/>
        </w:tabs>
        <w:ind w:firstLine="720" w:end="0"/>
        <w:rPr>
          <w:sz w:val="24"/>
        </w:rPr>
      </w:pPr>
      <w:r>
        <w:rPr>
          <w:sz w:val="24"/>
        </w:rPr>
        <w:tab/>
        <w:t>Member</w:t>
      </w:r>
    </w:p>
    <w:p>
      <w:pPr>
        <w:pStyle w:val="Normal"/>
        <w:jc w:val="both"/>
        <w:rPr>
          <w:sz w:val="24"/>
        </w:rPr>
      </w:pPr>
      <w:r>
        <w:rPr>
          <w:sz w:val="24"/>
        </w:rPr>
      </w:r>
    </w:p>
    <w:p>
      <w:pPr>
        <w:pStyle w:val="Normal"/>
        <w:jc w:val="both"/>
        <w:rPr>
          <w:sz w:val="24"/>
        </w:rPr>
      </w:pPr>
      <w:r>
        <w:rPr>
          <w:sz w:val="24"/>
        </w:rPr>
        <w:t>By:</w:t>
      </w:r>
      <w:r>
        <w:rPr>
          <w:sz w:val="24"/>
          <w:u w:val="single"/>
        </w:rPr>
        <w:tab/>
        <w:tab/>
        <w:tab/>
        <w:tab/>
        <w:tab/>
        <w:tab/>
      </w:r>
      <w:r>
        <w:rPr>
          <w:sz w:val="24"/>
        </w:rPr>
        <w:tab/>
        <w:t>By:</w:t>
      </w:r>
      <w:r>
        <w:rPr>
          <w:sz w:val="24"/>
          <w:u w:val="single"/>
        </w:rPr>
        <w:tab/>
        <w:tab/>
        <w:tab/>
        <w:tab/>
        <w:tab/>
      </w:r>
    </w:p>
    <w:p>
      <w:pPr>
        <w:pStyle w:val="Normal"/>
        <w:jc w:val="both"/>
        <w:rPr>
          <w:sz w:val="24"/>
        </w:rPr>
      </w:pPr>
      <w:r>
        <w:rPr>
          <w:sz w:val="24"/>
        </w:rPr>
        <w:t>Title</w:t>
      </w:r>
      <w:r>
        <w:rPr>
          <w:sz w:val="24"/>
          <w:u w:val="single"/>
        </w:rPr>
        <w:t>:</w:t>
        <w:tab/>
        <w:t>_______</w:t>
        <w:tab/>
        <w:tab/>
        <w:tab/>
        <w:tab/>
      </w:r>
      <w:r>
        <w:rPr>
          <w:sz w:val="24"/>
        </w:rPr>
        <w:tab/>
        <w:t>Title:</w:t>
      </w:r>
      <w:r>
        <w:rPr>
          <w:sz w:val="24"/>
          <w:u w:val="single"/>
        </w:rPr>
        <w:tab/>
        <w:tab/>
        <w:tab/>
        <w:tab/>
        <w:tab/>
      </w:r>
    </w:p>
    <w:p>
      <w:pPr>
        <w:pStyle w:val="Normal"/>
        <w:jc w:val="both"/>
        <w:rPr/>
      </w:pPr>
      <w:r>
        <w:rPr>
          <w:sz w:val="24"/>
        </w:rPr>
        <w:t>Date:</w:t>
      </w:r>
      <w:r>
        <w:rPr>
          <w:sz w:val="24"/>
          <w:u w:val="single"/>
        </w:rPr>
        <w:tab/>
        <w:tab/>
        <w:tab/>
        <w:tab/>
        <w:tab/>
        <w:tab/>
      </w:r>
      <w:r>
        <w:rPr>
          <w:sz w:val="24"/>
        </w:rPr>
        <w:tab/>
        <w:t>Date:</w:t>
      </w:r>
      <w:r>
        <w:rPr>
          <w:sz w:val="24"/>
          <w:u w:val="single"/>
        </w:rPr>
        <w:tab/>
        <w:tab/>
        <w:tab/>
        <w:tab/>
        <w:tab/>
      </w:r>
    </w:p>
    <w:p>
      <w:pPr>
        <w:pStyle w:val="Normal"/>
        <w:rPr>
          <w:sz w:val="24"/>
          <w:u w:val="single"/>
        </w:rPr>
      </w:pPr>
      <w:r>
        <w:rPr>
          <w:sz w:val="24"/>
          <w:u w:val="single"/>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1999-08-25T21:18:00Z</dcterms:created>
  <dc:creator>gnemec</dc:creator>
  <dc:description/>
  <dc:language>en-CA</dc:language>
  <cp:lastModifiedBy>gnemec</cp:lastModifiedBy>
  <cp:lastPrinted>1999-08-25T18:50:00Z</cp:lastPrinted>
  <dcterms:modified xsi:type="dcterms:W3CDTF">1999-08-25T21:20:00Z</dcterms:modified>
  <cp:revision>2</cp:revision>
  <dc:subject/>
  <dc:title>FACILITIES CONSTRUCTION AGREEMENT</dc:title>
</cp:coreProperties>
</file>