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b/>
          <w:sz w:val="22"/>
          <w:szCs w:val="20"/>
        </w:rPr>
      </w:pPr>
      <w:r>
        <w:rPr>
          <w:b/>
          <w:sz w:val="22"/>
        </w:rPr>
        <w:t>CONFIRMATION LETTER</w:t>
      </w:r>
    </w:p>
    <w:p>
      <w:pPr>
        <w:pStyle w:val="Normal"/>
        <w:ind w:hanging="720" w:start="720" w:end="0"/>
        <w:jc w:val="center"/>
        <w:rPr>
          <w:b/>
          <w:sz w:val="22"/>
          <w:szCs w:val="20"/>
        </w:rPr>
      </w:pPr>
      <w:r>
        <w:rPr>
          <w:b/>
          <w:sz w:val="22"/>
          <w:szCs w:val="20"/>
        </w:rPr>
      </w:r>
    </w:p>
    <w:p>
      <w:pPr>
        <w:pStyle w:val="BodyText2"/>
        <w:rPr>
          <w:szCs w:val="20"/>
        </w:rPr>
      </w:pPr>
      <w:r>
        <w:rPr/>
        <w:tab/>
        <w:t>This Confirmation Letter is made and entered into this ______ day of ________, 2001,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jc w:val="both"/>
        <w:rPr>
          <w:sz w:val="22"/>
          <w:szCs w:val="20"/>
        </w:rPr>
      </w:pPr>
      <w:r>
        <w:rPr>
          <w:sz w:val="22"/>
          <w:szCs w:val="20"/>
        </w:rPr>
      </w:r>
    </w:p>
    <w:p>
      <w:pPr>
        <w:pStyle w:val="Normal"/>
        <w:jc w:val="both"/>
        <w:rPr>
          <w:sz w:val="22"/>
          <w:szCs w:val="20"/>
        </w:rPr>
      </w:pPr>
      <w:r>
        <w:rPr>
          <w:sz w:val="22"/>
        </w:rPr>
        <w:t>This Confirmation Letter is incorporated into and subject to the terms of that certain Gas Purchase Agreement dated December 29, 1999, by and between Buyer and Seller.  When executed, this Confirmation Letter is binding for the Delivery Period stated below.</w:t>
      </w:r>
    </w:p>
    <w:p>
      <w:pPr>
        <w:pStyle w:val="Normal"/>
        <w:jc w:val="both"/>
        <w:rPr>
          <w:sz w:val="22"/>
          <w:szCs w:val="20"/>
        </w:rPr>
      </w:pPr>
      <w:r>
        <w:rPr>
          <w:sz w:val="22"/>
          <w:szCs w:val="20"/>
        </w:rPr>
      </w:r>
    </w:p>
    <w:p>
      <w:pPr>
        <w:pStyle w:val="Normal"/>
        <w:jc w:val="both"/>
        <w:rPr>
          <w:sz w:val="22"/>
          <w:szCs w:val="20"/>
        </w:rPr>
      </w:pPr>
      <w:r>
        <w:rPr>
          <w:b/>
          <w:bCs/>
          <w:sz w:val="22"/>
        </w:rPr>
        <w:t>Contract Price:</w:t>
      </w:r>
      <w:r>
        <w:rPr>
          <w:sz w:val="22"/>
        </w:rPr>
        <w:t xml:space="preserve">  The price for each MMBtu of Gas delivered each day hereunder shall be equal to the sum of (a) the “Midpoint” price published in Financial Times Energy’s Gas Daily Daily Price Survey for Louisiana-Onshore South, Sonat for the day on which such deliveries are made hereunder, except in the case of days for which no Midpoint price is posted, in which case the price for such day(s) shall be the first Midpoint price for Louisiana-Onshore South published after such day(s) by Gas Daily (the “Index component”) and (b) one and one-half cents ($0.015) per MMBtu (the “Index premium”).</w:t>
      </w:r>
    </w:p>
    <w:p>
      <w:pPr>
        <w:pStyle w:val="Normal"/>
        <w:jc w:val="both"/>
        <w:rPr>
          <w:sz w:val="22"/>
          <w:szCs w:val="20"/>
        </w:rPr>
      </w:pPr>
      <w:r>
        <w:rPr>
          <w:sz w:val="22"/>
          <w:szCs w:val="20"/>
        </w:rPr>
      </w:r>
    </w:p>
    <w:p>
      <w:pPr>
        <w:pStyle w:val="Normal"/>
        <w:jc w:val="both"/>
        <w:rPr>
          <w:sz w:val="22"/>
          <w:szCs w:val="20"/>
        </w:rPr>
      </w:pPr>
      <w:r>
        <w:rPr>
          <w:b/>
          <w:bCs/>
          <w:sz w:val="22"/>
        </w:rPr>
        <w:t>Delivery Period:</w:t>
      </w:r>
      <w:r>
        <w:rPr>
          <w:sz w:val="22"/>
        </w:rPr>
        <w:t xml:space="preserve">  Begins June 1, 2002, and extends through May 31, 2007.</w:t>
      </w:r>
    </w:p>
    <w:p>
      <w:pPr>
        <w:pStyle w:val="Normal"/>
        <w:jc w:val="both"/>
        <w:rPr>
          <w:sz w:val="22"/>
          <w:szCs w:val="20"/>
        </w:rPr>
      </w:pPr>
      <w:r>
        <w:rPr>
          <w:sz w:val="22"/>
          <w:szCs w:val="20"/>
        </w:rPr>
      </w:r>
    </w:p>
    <w:p>
      <w:pPr>
        <w:pStyle w:val="Normal"/>
        <w:jc w:val="both"/>
        <w:rPr>
          <w:sz w:val="22"/>
          <w:szCs w:val="20"/>
        </w:rPr>
      </w:pPr>
      <w:r>
        <w:rPr>
          <w:b/>
          <w:bCs/>
          <w:sz w:val="22"/>
        </w:rPr>
        <w:t>Contract Quantity:</w:t>
      </w:r>
      <w:r>
        <w:rPr>
          <w:sz w:val="22"/>
        </w:rPr>
        <w:t xml:space="preserve">  20,000 MMBtu per day.</w:t>
      </w:r>
    </w:p>
    <w:p>
      <w:pPr>
        <w:pStyle w:val="Normal"/>
        <w:jc w:val="both"/>
        <w:rPr>
          <w:sz w:val="22"/>
          <w:szCs w:val="20"/>
        </w:rPr>
      </w:pPr>
      <w:r>
        <w:rPr>
          <w:sz w:val="22"/>
          <w:szCs w:val="20"/>
        </w:rPr>
      </w:r>
    </w:p>
    <w:p>
      <w:pPr>
        <w:pStyle w:val="Normal"/>
        <w:jc w:val="both"/>
        <w:rPr>
          <w:sz w:val="22"/>
          <w:szCs w:val="20"/>
        </w:rPr>
      </w:pPr>
      <w:r>
        <w:rPr>
          <w:b/>
          <w:bCs/>
          <w:sz w:val="22"/>
        </w:rPr>
        <w:t>Delivery Point:</w:t>
      </w:r>
      <w:r>
        <w:rPr>
          <w:sz w:val="22"/>
        </w:rPr>
        <w:t xml:space="preserve">  Seller’s Southern Natural Gas Company Tier I or Tier </w:t>
      </w:r>
      <w:r>
        <w:rPr>
          <w:color w:val="000000"/>
          <w:sz w:val="22"/>
        </w:rPr>
        <w:t xml:space="preserve">II </w:t>
      </w:r>
      <w:r>
        <w:rPr>
          <w:sz w:val="22"/>
        </w:rPr>
        <w:t xml:space="preserve">pool, at its discretion. </w:t>
      </w:r>
    </w:p>
    <w:p>
      <w:pPr>
        <w:pStyle w:val="Normal"/>
        <w:jc w:val="both"/>
        <w:rPr>
          <w:sz w:val="22"/>
          <w:szCs w:val="20"/>
        </w:rPr>
      </w:pPr>
      <w:r>
        <w:rPr>
          <w:sz w:val="22"/>
          <w:szCs w:val="20"/>
        </w:rPr>
      </w:r>
    </w:p>
    <w:p>
      <w:pPr>
        <w:pStyle w:val="Normal"/>
        <w:jc w:val="both"/>
        <w:rPr/>
      </w:pPr>
      <w:r>
        <w:rPr>
          <w:b/>
          <w:bCs/>
          <w:sz w:val="22"/>
        </w:rPr>
        <w:t>Special Provisions:</w:t>
      </w:r>
      <w:r>
        <w:rPr>
          <w:sz w:val="22"/>
        </w:rPr>
        <w:t xml:space="preserve">  Notwithstanding any provision of the Agreement to the contrary, neither Buyer nor Seller shall have any liability to the other for any inability to deliver or to receive the Contract Quantity at the Delivery Point as a result of Southern Natural Gas Company’s interruption or allocation of deliveries from Seller’s Tier I or Tier </w:t>
      </w:r>
      <w:r>
        <w:rPr>
          <w:color w:val="000000"/>
          <w:sz w:val="22"/>
        </w:rPr>
        <w:t xml:space="preserve">II </w:t>
      </w:r>
      <w:r>
        <w:rPr>
          <w:sz w:val="22"/>
        </w:rPr>
        <w:t>pool unless Buyer and Seller mutually agree that any portion of the Contract Quantity that cannot be delivered to Buyer at the Delivery Point is to be delivered at an alternative point.  In the event Seller is unable to deliver or Buyer is unable to receive under Buyers firm transportation agreements on Southern Natural Gas Company the Contract Quantity on thirty or more days during any calendar year as a result of Southern Natural Gas Company’s interruption or allocation of receipts from Seller’s pool, either Party</w:t>
      </w:r>
      <w:r>
        <w:rPr>
          <w:color w:val="000000"/>
          <w:sz w:val="22"/>
        </w:rPr>
        <w:t xml:space="preserve"> </w:t>
      </w:r>
      <w:r>
        <w:rPr>
          <w:sz w:val="22"/>
        </w:rPr>
        <w:t xml:space="preserve">shall have the right to terminate this Transaction on not less than thirty (30) days prior written notice </w:t>
      </w:r>
      <w:r>
        <w:rPr>
          <w:color w:val="000000"/>
          <w:sz w:val="22"/>
        </w:rPr>
        <w:t>to the other Party</w:t>
      </w:r>
      <w:r>
        <w:rPr>
          <w:color w:val="000000"/>
          <w:sz w:val="22"/>
          <w:szCs w:val="20"/>
        </w:rPr>
        <w:t>.</w:t>
      </w:r>
    </w:p>
    <w:p>
      <w:pPr>
        <w:pStyle w:val="Normal"/>
        <w:jc w:val="both"/>
        <w:rPr>
          <w:color w:val="000000"/>
          <w:sz w:val="22"/>
          <w:szCs w:val="20"/>
        </w:rPr>
      </w:pPr>
      <w:r>
        <w:rPr>
          <w:color w:val="000000"/>
          <w:sz w:val="22"/>
          <w:szCs w:val="20"/>
        </w:rPr>
      </w:r>
    </w:p>
    <w:p>
      <w:pPr>
        <w:pStyle w:val="Normal"/>
        <w:jc w:val="both"/>
        <w:rPr>
          <w:szCs w:val="20"/>
        </w:rPr>
      </w:pPr>
      <w:r>
        <w:rPr>
          <w:sz w:val="22"/>
        </w:rPr>
        <w:t>IN WITNESS WHEREOF, duly authorized representatives of the Parties hereto have executed this Agreement in duplicate originals on the day and year first written above.</w:t>
      </w:r>
    </w:p>
    <w:p>
      <w:pPr>
        <w:pStyle w:val="Normal"/>
        <w:jc w:val="both"/>
        <w:rPr>
          <w:szCs w:val="20"/>
        </w:rPr>
      </w:pPr>
      <w:r>
        <w:rPr>
          <w:szCs w:val="20"/>
        </w:rPr>
      </w:r>
    </w:p>
    <w:p>
      <w:pPr>
        <w:pStyle w:val="Normal"/>
        <w:ind w:hanging="4320" w:start="4320" w:end="0"/>
        <w:jc w:val="both"/>
        <w:rPr>
          <w:sz w:val="22"/>
          <w:szCs w:val="20"/>
        </w:rPr>
      </w:pPr>
      <w:r>
        <w:rPr>
          <w:sz w:val="22"/>
        </w:rPr>
        <w:t>SOUTHERN COMPANY SERVICES, INC.</w:t>
        <w:tab/>
        <w:t>ENRON NORTH AMERICA CORP.</w:t>
      </w:r>
    </w:p>
    <w:p>
      <w:pPr>
        <w:pStyle w:val="Normal"/>
        <w:jc w:val="both"/>
        <w:rPr>
          <w:sz w:val="22"/>
          <w:szCs w:val="20"/>
        </w:rPr>
      </w:pPr>
      <w:r>
        <w:rPr>
          <w:sz w:val="22"/>
          <w:szCs w:val="20"/>
        </w:rPr>
      </w:r>
    </w:p>
    <w:p>
      <w:pPr>
        <w:pStyle w:val="Normal"/>
        <w:jc w:val="both"/>
        <w:rPr>
          <w:sz w:val="22"/>
          <w:szCs w:val="20"/>
        </w:rPr>
      </w:pPr>
      <w:r>
        <w:rPr>
          <w:sz w:val="22"/>
          <w:szCs w:val="20"/>
        </w:rPr>
      </w:r>
    </w:p>
    <w:p>
      <w:pPr>
        <w:pStyle w:val="Normal"/>
        <w:tabs>
          <w:tab w:val="clear" w:pos="720"/>
          <w:tab w:val="left" w:pos="4320" w:leader="none"/>
        </w:tabs>
        <w:jc w:val="both"/>
        <w:rPr>
          <w:sz w:val="22"/>
          <w:szCs w:val="20"/>
        </w:rPr>
      </w:pPr>
      <w:r>
        <w:rPr>
          <w:sz w:val="22"/>
        </w:rPr>
        <w:t>By:________________________________</w:t>
        <w:tab/>
        <w:t>By:___________________________</w:t>
      </w:r>
    </w:p>
    <w:p>
      <w:pPr>
        <w:pStyle w:val="Normal"/>
        <w:tabs>
          <w:tab w:val="clear" w:pos="720"/>
          <w:tab w:val="left" w:pos="4320" w:leader="none"/>
        </w:tabs>
        <w:jc w:val="both"/>
        <w:rPr>
          <w:sz w:val="22"/>
          <w:szCs w:val="20"/>
        </w:rPr>
      </w:pPr>
      <w:r>
        <w:rPr>
          <w:sz w:val="22"/>
        </w:rPr>
        <w:t>Title:_______________________________</w:t>
        <w:tab/>
        <w:t>Title:__________________________</w:t>
      </w:r>
    </w:p>
    <w:p>
      <w:pPr>
        <w:pStyle w:val="Normal"/>
        <w:ind w:firstLine="720" w:end="0"/>
        <w:jc w:val="both"/>
        <w:rPr>
          <w:sz w:val="22"/>
          <w:szCs w:val="20"/>
        </w:rPr>
      </w:pPr>
      <w:r>
        <w:rPr>
          <w:sz w:val="22"/>
        </w:rPr>
        <w:t>“</w:t>
      </w:r>
      <w:r>
        <w:rPr>
          <w:sz w:val="22"/>
        </w:rPr>
        <w:t>Buyer”</w:t>
        <w:tab/>
        <w:tab/>
        <w:tab/>
        <w:tab/>
        <w:tab/>
        <w:tab/>
        <w:t>“Seller”</w:t>
      </w:r>
    </w:p>
    <w:p>
      <w:pPr>
        <w:pStyle w:val="Normal"/>
        <w:jc w:val="both"/>
        <w:rPr>
          <w:sz w:val="22"/>
          <w:szCs w:val="20"/>
        </w:rPr>
      </w:pPr>
      <w:r>
        <w:rPr>
          <w:sz w:val="22"/>
          <w:szCs w:val="20"/>
        </w:rPr>
      </w:r>
    </w:p>
    <w:p>
      <w:pPr>
        <w:pStyle w:val="Normal"/>
        <w:rPr>
          <w:sz w:val="22"/>
          <w:szCs w:val="20"/>
        </w:rPr>
      </w:pPr>
      <w:r>
        <w:rPr>
          <w:sz w:val="22"/>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2001-04-18T20:43:00Z</dcterms:created>
  <dc:creator>Donna J. Bailey</dc:creator>
  <dc:description/>
  <dc:language>en-CA</dc:language>
  <cp:lastModifiedBy>Donna J. Bailey</cp:lastModifiedBy>
  <dcterms:modified xsi:type="dcterms:W3CDTF">2001-04-19T12:12:00Z</dcterms:modified>
  <cp:revision>4</cp:revision>
  <dc:subject/>
  <dc:title>CONFIRMATION LETTER</dc:title>
</cp:coreProperties>
</file>