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 w:val="false"/>
          <w:bCs w:val="false"/>
        </w:rPr>
      </w:pPr>
      <w:r>
        <w:rPr>
          <w:b w:val="false"/>
          <w:bCs w:val="false"/>
        </w:rPr>
        <w:t>Interoffice Memorandum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To:</w:t>
        <w:tab/>
        <w:tab/>
        <w:tab/>
        <w:t>Barbara N. Gray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From:</w:t>
        <w:tab/>
        <w:tab/>
        <w:t>Troy Denetsosie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Date:</w:t>
        <w:tab/>
        <w:tab/>
        <w:t>February 20, 2002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Subject:</w:t>
        <w:tab/>
        <w:t>Exxon Company, USA (“Exxon”) Refund Request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Requirement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 legal opinion from Weil, Gothshal &amp; Manges, LLP (“WGM”) on the following  –  Can Enron, in light of its current status, legally and rightfully return misdirected funds to an original counterparty?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Purpose and Need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The purpose of the legal opinion is to present it to the cash management committee (“committee”) so they can re-direct funds to Exxon.  In accordance with the committee’s protocol, a Cash Payment Request, Wire Transfer Request and various supporting documentation were prepared.  If approved, Enron will repay Exxon whom, in turn, will repay AEP for the amount in question.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Facts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ind w:hanging="840" w:start="840" w:end="0"/>
        <w:rPr>
          <w:sz w:val="22"/>
        </w:rPr>
      </w:pPr>
      <w:r>
        <w:rPr>
          <w:sz w:val="22"/>
        </w:rPr>
        <w:t>Enron North America Corp. (ENA) Legal has opined that we return the funds.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ind w:hanging="840" w:start="840" w:end="0"/>
        <w:rPr>
          <w:sz w:val="22"/>
        </w:rPr>
      </w:pPr>
      <w:r>
        <w:rPr>
          <w:sz w:val="22"/>
        </w:rPr>
        <w:t xml:space="preserve">The ENA cash management committee wants a second legal opinion from WGM.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ind w:hanging="840" w:start="840" w:end="0"/>
        <w:rPr>
          <w:sz w:val="22"/>
        </w:rPr>
      </w:pPr>
      <w:r>
        <w:rPr>
          <w:sz w:val="22"/>
        </w:rPr>
        <w:t>Enron sold Houston Pipe Line Co. (HPL) to AEP effective May 31, 2001.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0"/>
          <w:numId w:val="2"/>
        </w:numPr>
        <w:tabs>
          <w:tab w:val="left" w:pos="360" w:leader="none"/>
        </w:tabs>
        <w:ind w:hanging="360" w:start="360" w:end="0"/>
        <w:rPr/>
      </w:pPr>
      <w:r>
        <w:rPr/>
        <w:t>Exxon inadvertently sent eight (8) checks to an Enron HPL account during 2001.  The payments were received in error into Company 1647, HPLR – Division of 0058.  Due to an Exxon information systems error, the checks were forwarded to Enron instead of AEP.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ind w:hanging="840" w:start="840" w:end="0"/>
        <w:rPr>
          <w:sz w:val="22"/>
        </w:rPr>
      </w:pPr>
      <w:r>
        <w:rPr>
          <w:sz w:val="22"/>
        </w:rPr>
        <w:t>Company 0058 (HPL Marketing) is a wholly owned subsidiary of Enron Corp.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ind w:hanging="840" w:start="840" w:end="0"/>
        <w:rPr>
          <w:sz w:val="22"/>
        </w:rPr>
      </w:pPr>
      <w:r>
        <w:rPr>
          <w:sz w:val="22"/>
        </w:rPr>
        <w:t>Enron Corp. filed for Chapter 11 bankruptcy protection on December 2, 2001.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360"/>
        </w:tabs>
        <w:ind w:hanging="360" w:start="360" w:end="0"/>
        <w:rPr>
          <w:sz w:val="22"/>
        </w:rPr>
      </w:pPr>
      <w:r>
        <w:rPr>
          <w:sz w:val="22"/>
        </w:rPr>
        <w:t>The cumulative amount in question is $4,566,746.47.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360"/>
        </w:tabs>
        <w:ind w:hanging="360" w:start="360" w:end="0"/>
        <w:rPr>
          <w:sz w:val="22"/>
        </w:rPr>
      </w:pPr>
      <w:r>
        <w:rPr>
          <w:sz w:val="22"/>
        </w:rPr>
        <w:t>The error was confirmed was both ENA Accounting and ENA Settlements.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  <w:u w:val="single"/>
        </w:rPr>
        <w:t>C</w:t>
      </w:r>
      <w:r>
        <w:rPr>
          <w:sz w:val="22"/>
        </w:rPr>
        <w:t xml:space="preserve"> </w:t>
      </w:r>
      <w:r>
        <w:rPr>
          <w:sz w:val="22"/>
          <w:u w:val="single"/>
        </w:rPr>
        <w:t>O</w:t>
      </w:r>
      <w:r>
        <w:rPr>
          <w:sz w:val="22"/>
        </w:rPr>
        <w:t xml:space="preserve"> </w:t>
      </w:r>
      <w:r>
        <w:rPr>
          <w:sz w:val="22"/>
          <w:u w:val="single"/>
        </w:rPr>
        <w:t>N</w:t>
      </w:r>
      <w:r>
        <w:rPr>
          <w:sz w:val="22"/>
        </w:rPr>
        <w:t xml:space="preserve"> </w:t>
      </w:r>
      <w:r>
        <w:rPr>
          <w:sz w:val="22"/>
          <w:u w:val="single"/>
        </w:rPr>
        <w:t>C</w:t>
      </w:r>
      <w:r>
        <w:rPr>
          <w:sz w:val="22"/>
        </w:rPr>
        <w:t xml:space="preserve"> </w:t>
      </w:r>
      <w:r>
        <w:rPr>
          <w:sz w:val="22"/>
          <w:u w:val="single"/>
        </w:rPr>
        <w:t>U</w:t>
      </w:r>
      <w:r>
        <w:rPr>
          <w:sz w:val="22"/>
        </w:rPr>
        <w:t xml:space="preserve"> </w:t>
      </w:r>
      <w:r>
        <w:rPr>
          <w:sz w:val="22"/>
          <w:u w:val="single"/>
        </w:rPr>
        <w:t>R</w:t>
      </w:r>
      <w:r>
        <w:rPr>
          <w:sz w:val="22"/>
        </w:rPr>
        <w:t xml:space="preserve"> </w:t>
      </w:r>
      <w:r>
        <w:rPr>
          <w:sz w:val="22"/>
          <w:u w:val="single"/>
        </w:rPr>
        <w:t>R</w:t>
      </w:r>
      <w:r>
        <w:rPr>
          <w:sz w:val="22"/>
        </w:rPr>
        <w:t xml:space="preserve"> </w:t>
      </w:r>
      <w:r>
        <w:rPr>
          <w:sz w:val="22"/>
          <w:u w:val="single"/>
        </w:rPr>
        <w:t>E</w:t>
      </w:r>
      <w:r>
        <w:rPr>
          <w:sz w:val="22"/>
        </w:rPr>
        <w:t xml:space="preserve"> </w:t>
      </w:r>
      <w:r>
        <w:rPr>
          <w:sz w:val="22"/>
          <w:u w:val="single"/>
        </w:rPr>
        <w:t>N</w:t>
      </w:r>
      <w:r>
        <w:rPr>
          <w:sz w:val="22"/>
        </w:rPr>
        <w:t xml:space="preserve"> </w:t>
      </w:r>
      <w:r>
        <w:rPr>
          <w:sz w:val="22"/>
          <w:u w:val="single"/>
        </w:rPr>
        <w:t>C</w:t>
      </w:r>
      <w:r>
        <w:rPr>
          <w:sz w:val="22"/>
        </w:rPr>
        <w:t xml:space="preserve"> </w:t>
      </w:r>
      <w:r>
        <w:rPr>
          <w:sz w:val="22"/>
          <w:u w:val="single"/>
        </w:rPr>
        <w:t>E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</w:t>
      </w:r>
    </w:p>
    <w:p>
      <w:pPr>
        <w:pStyle w:val="Normal"/>
        <w:rPr>
          <w:sz w:val="22"/>
        </w:rPr>
      </w:pPr>
      <w:r>
        <w:rPr>
          <w:sz w:val="22"/>
        </w:rPr>
        <w:t>Weil, Gothshal &amp; Manges, LLP</w:t>
      </w:r>
    </w:p>
    <w:sectPr>
      <w:type w:val="nextPage"/>
      <w:pgSz w:w="12240" w:h="15840"/>
      <w:pgMar w:left="1224" w:right="1224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8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360" w:end="0"/>
    </w:pPr>
    <w:rPr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2002-02-20T17:25:00Z</dcterms:created>
  <dc:creator>Patrick</dc:creator>
  <dc:description/>
  <dc:language>en-CA</dc:language>
  <cp:lastModifiedBy>Patrick</cp:lastModifiedBy>
  <cp:lastPrinted>2002-02-20T15:15:00Z</cp:lastPrinted>
  <dcterms:modified xsi:type="dcterms:W3CDTF">2002-02-20T18:47:00Z</dcterms:modified>
  <cp:revision>5</cp:revision>
  <dc:subject/>
  <dc:title>Interoffice Memorandum</dc:title>
</cp:coreProperties>
</file>