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center"/>
        <w:rPr>
          <w:b/>
          <w:bCs/>
          <w:sz w:val="24"/>
        </w:rPr>
      </w:pPr>
      <w:r>
        <w:rPr>
          <w:b/>
          <w:bCs/>
          <w:sz w:val="24"/>
        </w:rPr>
        <w:t>Customer Web Interface (CWI) Instructions</w:t>
      </w:r>
    </w:p>
    <w:p>
      <w:pPr>
        <w:pStyle w:val="Normal"/>
        <w:autoSpaceDE w:val="false"/>
        <w:jc w:val="center"/>
        <w:rPr>
          <w:b/>
          <w:bCs/>
          <w:sz w:val="24"/>
        </w:rPr>
      </w:pPr>
      <w:r>
        <w:rPr>
          <w:b/>
          <w:bCs/>
          <w:sz w:val="24"/>
        </w:rPr>
        <w:t>For the Scheduling Automation Test</w:t>
      </w:r>
    </w:p>
    <w:p>
      <w:pPr>
        <w:pStyle w:val="Normal"/>
        <w:autoSpaceDE w:val="false"/>
        <w:jc w:val="center"/>
        <w:rPr>
          <w:b/>
          <w:bCs/>
          <w:sz w:val="24"/>
        </w:rPr>
      </w:pPr>
      <w:r>
        <w:rPr>
          <w:b/>
          <w:bCs/>
          <w:sz w:val="24"/>
        </w:rPr>
        <w:t>Between BPAT and Enron</w:t>
      </w:r>
    </w:p>
    <w:p>
      <w:pPr>
        <w:pStyle w:val="Normal"/>
        <w:autoSpaceDE w:val="false"/>
        <w:jc w:val="center"/>
        <w:rPr>
          <w:b/>
          <w:bCs/>
          <w:sz w:val="24"/>
        </w:rPr>
      </w:pPr>
      <w:r>
        <w:rPr>
          <w:b/>
          <w:bCs/>
          <w:sz w:val="24"/>
        </w:rPr>
        <w:t>September 10-14, 2001</w:t>
      </w:r>
    </w:p>
    <w:p>
      <w:pPr>
        <w:pStyle w:val="Normal"/>
        <w:autoSpaceDE w:val="false"/>
        <w:rPr>
          <w:b/>
          <w:bCs/>
          <w:sz w:val="24"/>
        </w:rPr>
      </w:pPr>
      <w:r>
        <w:rPr>
          <w:b/>
          <w:bCs/>
          <w:sz w:val="24"/>
        </w:rPr>
      </w:r>
    </w:p>
    <w:p>
      <w:pPr>
        <w:pStyle w:val="Normal"/>
        <w:autoSpaceDE w:val="false"/>
        <w:rPr>
          <w:sz w:val="24"/>
        </w:rPr>
      </w:pPr>
      <w:r>
        <w:rPr>
          <w:sz w:val="24"/>
        </w:rPr>
        <w:t>During the CWI Scheduling Automation test scheduled for September 10-14, 2001, you will be using the following http address:</w:t>
      </w:r>
    </w:p>
    <w:p>
      <w:pPr>
        <w:pStyle w:val="Normal"/>
        <w:autoSpaceDE w:val="false"/>
        <w:rPr>
          <w:sz w:val="24"/>
        </w:rPr>
      </w:pPr>
      <w:r>
        <w:rPr>
          <w:sz w:val="24"/>
        </w:rPr>
      </w:r>
    </w:p>
    <w:p>
      <w:pPr>
        <w:pStyle w:val="Normal"/>
        <w:autoSpaceDE w:val="false"/>
        <w:rPr>
          <w:rFonts w:ascii="Arial" w:hAnsi="Arial" w:cs="Arial"/>
        </w:rPr>
      </w:pPr>
      <w:hyperlink r:id="rId2">
        <w:r>
          <w:rPr>
            <w:rStyle w:val="Hyperlink"/>
            <w:rFonts w:cs="Arial" w:ascii="Arial" w:hAnsi="Arial"/>
          </w:rPr>
          <w:t>http://taim.transmission.bpa.gov/taim/</w:t>
        </w:r>
      </w:hyperlink>
    </w:p>
    <w:p>
      <w:pPr>
        <w:pStyle w:val="Normal"/>
        <w:autoSpaceDE w:val="false"/>
        <w:rPr>
          <w:rFonts w:ascii="Arial" w:hAnsi="Arial" w:cs="Arial"/>
          <w:sz w:val="24"/>
        </w:rPr>
      </w:pPr>
      <w:r>
        <w:rPr>
          <w:rFonts w:cs="Arial" w:ascii="Arial" w:hAnsi="Arial"/>
          <w:sz w:val="24"/>
        </w:rPr>
      </w:r>
    </w:p>
    <w:p>
      <w:pPr>
        <w:pStyle w:val="Normal"/>
        <w:autoSpaceDE w:val="false"/>
        <w:rPr>
          <w:sz w:val="24"/>
        </w:rPr>
      </w:pPr>
      <w:r>
        <w:rPr>
          <w:sz w:val="24"/>
        </w:rPr>
        <w:t>THIS ADDRESS WILL NOT BE VALID UNTIL MONDAY, SEPT 10 IN THE AFTERNOON.</w:t>
      </w:r>
    </w:p>
    <w:p>
      <w:pPr>
        <w:pStyle w:val="Normal"/>
        <w:autoSpaceDE w:val="false"/>
        <w:rPr>
          <w:sz w:val="24"/>
        </w:rPr>
      </w:pPr>
      <w:r>
        <w:rPr>
          <w:sz w:val="24"/>
        </w:rPr>
      </w:r>
    </w:p>
    <w:p>
      <w:pPr>
        <w:pStyle w:val="Normal"/>
        <w:autoSpaceDE w:val="false"/>
        <w:rPr>
          <w:sz w:val="24"/>
        </w:rPr>
      </w:pPr>
      <w:r>
        <w:rPr>
          <w:sz w:val="24"/>
        </w:rPr>
        <w:t>Your User ID and password is:</w:t>
      </w:r>
    </w:p>
    <w:p>
      <w:pPr>
        <w:pStyle w:val="Normal"/>
        <w:autoSpaceDE w:val="false"/>
        <w:rPr>
          <w:sz w:val="24"/>
        </w:rPr>
      </w:pPr>
      <w:r>
        <w:rPr>
          <w:sz w:val="24"/>
        </w:rPr>
      </w:r>
    </w:p>
    <w:tbl>
      <w:tblPr>
        <w:tblW w:w="8520" w:type="dxa"/>
        <w:jc w:val="start"/>
        <w:tblInd w:w="0" w:type="dxa"/>
        <w:tblLayout w:type="fixed"/>
        <w:tblCellMar>
          <w:top w:w="15" w:type="dxa"/>
          <w:start w:w="15" w:type="dxa"/>
          <w:bottom w:w="0" w:type="dxa"/>
          <w:end w:w="15" w:type="dxa"/>
        </w:tblCellMar>
      </w:tblPr>
      <w:tblGrid>
        <w:gridCol w:w="2420"/>
        <w:gridCol w:w="960"/>
        <w:gridCol w:w="2040"/>
        <w:gridCol w:w="1540"/>
        <w:gridCol w:w="1560"/>
      </w:tblGrid>
      <w:tr>
        <w:trPr>
          <w:trHeight w:val="255" w:hRule="atLeast"/>
        </w:trPr>
        <w:tc>
          <w:tcPr>
            <w:tcW w:w="2420" w:type="dxa"/>
            <w:tcBorders>
              <w:top w:val="single" w:sz="4" w:space="0" w:color="000000"/>
              <w:start w:val="single" w:sz="4" w:space="0" w:color="000000"/>
              <w:bottom w:val="single" w:sz="4" w:space="0" w:color="000000"/>
              <w:end w:val="single" w:sz="4" w:space="0" w:color="000000"/>
            </w:tcBorders>
            <w:shd w:fill="00FFFF" w:val="clear"/>
            <w:vAlign w:val="bottom"/>
          </w:tcPr>
          <w:p>
            <w:pPr>
              <w:pStyle w:val="Normal"/>
              <w:jc w:val="center"/>
              <w:rPr>
                <w:rFonts w:ascii="Arial" w:hAnsi="Arial" w:cs="Arial"/>
                <w:b/>
                <w:bCs/>
              </w:rPr>
            </w:pPr>
            <w:r>
              <w:rPr>
                <w:rFonts w:cs="Arial" w:ascii="Arial" w:hAnsi="Arial"/>
                <w:b/>
                <w:bCs/>
              </w:rPr>
              <w:t>COMPANY NAME</w:t>
            </w:r>
          </w:p>
        </w:tc>
        <w:tc>
          <w:tcPr>
            <w:tcW w:w="960" w:type="dxa"/>
            <w:tcBorders>
              <w:top w:val="single" w:sz="4" w:space="0" w:color="000000"/>
              <w:bottom w:val="single" w:sz="4" w:space="0" w:color="000000"/>
              <w:end w:val="single" w:sz="4" w:space="0" w:color="000000"/>
            </w:tcBorders>
            <w:shd w:fill="00FFFF" w:val="clear"/>
            <w:vAlign w:val="bottom"/>
          </w:tcPr>
          <w:p>
            <w:pPr>
              <w:pStyle w:val="Normal"/>
              <w:jc w:val="center"/>
              <w:rPr>
                <w:rFonts w:ascii="Arial" w:hAnsi="Arial" w:cs="Arial"/>
                <w:b/>
                <w:bCs/>
              </w:rPr>
            </w:pPr>
            <w:r>
              <w:rPr>
                <w:rFonts w:cs="Arial" w:ascii="Arial" w:hAnsi="Arial"/>
                <w:b/>
                <w:bCs/>
              </w:rPr>
              <w:t>CODE</w:t>
            </w:r>
          </w:p>
        </w:tc>
        <w:tc>
          <w:tcPr>
            <w:tcW w:w="2040" w:type="dxa"/>
            <w:tcBorders>
              <w:top w:val="single" w:sz="4" w:space="0" w:color="000000"/>
              <w:bottom w:val="single" w:sz="4" w:space="0" w:color="000000"/>
              <w:end w:val="single" w:sz="4" w:space="0" w:color="000000"/>
            </w:tcBorders>
            <w:shd w:fill="00FFFF" w:val="clear"/>
            <w:vAlign w:val="bottom"/>
          </w:tcPr>
          <w:p>
            <w:pPr>
              <w:pStyle w:val="Normal"/>
              <w:jc w:val="center"/>
              <w:rPr>
                <w:rFonts w:ascii="Arial" w:hAnsi="Arial" w:cs="Arial"/>
                <w:b/>
                <w:bCs/>
              </w:rPr>
            </w:pPr>
            <w:r>
              <w:rPr>
                <w:rFonts w:cs="Arial" w:ascii="Arial" w:hAnsi="Arial"/>
                <w:b/>
                <w:bCs/>
              </w:rPr>
              <w:t>NAME</w:t>
            </w:r>
          </w:p>
        </w:tc>
        <w:tc>
          <w:tcPr>
            <w:tcW w:w="1540" w:type="dxa"/>
            <w:tcBorders>
              <w:top w:val="single" w:sz="4" w:space="0" w:color="000000"/>
              <w:bottom w:val="single" w:sz="4" w:space="0" w:color="000000"/>
              <w:end w:val="single" w:sz="4" w:space="0" w:color="000000"/>
            </w:tcBorders>
            <w:shd w:fill="00FFFF" w:val="clear"/>
            <w:vAlign w:val="bottom"/>
          </w:tcPr>
          <w:p>
            <w:pPr>
              <w:pStyle w:val="Normal"/>
              <w:jc w:val="center"/>
              <w:rPr>
                <w:rFonts w:ascii="Arial" w:hAnsi="Arial" w:cs="Arial"/>
                <w:b/>
                <w:bCs/>
              </w:rPr>
            </w:pPr>
            <w:r>
              <w:rPr>
                <w:rFonts w:cs="Arial" w:ascii="Arial" w:hAnsi="Arial"/>
                <w:b/>
                <w:bCs/>
              </w:rPr>
              <w:t>USERNAME</w:t>
            </w:r>
          </w:p>
        </w:tc>
        <w:tc>
          <w:tcPr>
            <w:tcW w:w="1560" w:type="dxa"/>
            <w:tcBorders>
              <w:top w:val="single" w:sz="4" w:space="0" w:color="000000"/>
              <w:bottom w:val="single" w:sz="4" w:space="0" w:color="000000"/>
              <w:end w:val="single" w:sz="4" w:space="0" w:color="000000"/>
            </w:tcBorders>
            <w:shd w:fill="00FFFF" w:val="clear"/>
            <w:vAlign w:val="bottom"/>
          </w:tcPr>
          <w:p>
            <w:pPr>
              <w:pStyle w:val="Normal"/>
              <w:jc w:val="center"/>
              <w:rPr>
                <w:rFonts w:ascii="Arial" w:hAnsi="Arial" w:cs="Arial"/>
                <w:b/>
                <w:bCs/>
              </w:rPr>
            </w:pPr>
            <w:r>
              <w:rPr>
                <w:rFonts w:cs="Arial" w:ascii="Arial" w:hAnsi="Arial"/>
                <w:b/>
                <w:bCs/>
              </w:rPr>
              <w:t>PASSWORD</w:t>
            </w:r>
          </w:p>
        </w:tc>
      </w:tr>
      <w:tr>
        <w:trPr>
          <w:trHeight w:val="270" w:hRule="atLeast"/>
        </w:trPr>
        <w:tc>
          <w:tcPr>
            <w:tcW w:w="2420" w:type="dxa"/>
            <w:tcBorders>
              <w:start w:val="single" w:sz="4" w:space="0" w:color="000000"/>
              <w:bottom w:val="single" w:sz="4" w:space="0" w:color="000000"/>
              <w:end w:val="single" w:sz="4" w:space="0" w:color="000000"/>
            </w:tcBorders>
            <w:vAlign w:val="bottom"/>
          </w:tcPr>
          <w:p>
            <w:pPr>
              <w:pStyle w:val="Normal"/>
              <w:rPr>
                <w:rFonts w:ascii="Arial" w:hAnsi="Arial" w:cs="Arial"/>
              </w:rPr>
            </w:pPr>
            <w:r>
              <w:rPr>
                <w:rFonts w:cs="Arial" w:ascii="Arial" w:hAnsi="Arial"/>
              </w:rPr>
              <w:t>Enron Power Mktg</w:t>
            </w:r>
          </w:p>
        </w:tc>
        <w:tc>
          <w:tcPr>
            <w:tcW w:w="960" w:type="dxa"/>
            <w:tcBorders>
              <w:bottom w:val="single" w:sz="4" w:space="0" w:color="000000"/>
              <w:end w:val="single" w:sz="4" w:space="0" w:color="000000"/>
            </w:tcBorders>
            <w:vAlign w:val="bottom"/>
          </w:tcPr>
          <w:p>
            <w:pPr>
              <w:pStyle w:val="Normal"/>
              <w:rPr>
                <w:rFonts w:ascii="Arial" w:hAnsi="Arial" w:cs="Arial"/>
              </w:rPr>
            </w:pPr>
            <w:r>
              <w:rPr>
                <w:rFonts w:cs="Arial" w:ascii="Arial" w:hAnsi="Arial"/>
              </w:rPr>
              <w:t>EPM</w:t>
            </w:r>
          </w:p>
        </w:tc>
        <w:tc>
          <w:tcPr>
            <w:tcW w:w="2040" w:type="dxa"/>
            <w:tcBorders>
              <w:bottom w:val="single" w:sz="4" w:space="0" w:color="000000"/>
              <w:end w:val="single" w:sz="4" w:space="0" w:color="000000"/>
            </w:tcBorders>
            <w:vAlign w:val="bottom"/>
          </w:tcPr>
          <w:p>
            <w:pPr>
              <w:pStyle w:val="Normal"/>
              <w:rPr>
                <w:rFonts w:ascii="Arial" w:hAnsi="Arial" w:cs="Arial"/>
              </w:rPr>
            </w:pPr>
            <w:r>
              <w:rPr>
                <w:rFonts w:cs="Arial" w:ascii="Arial" w:hAnsi="Arial"/>
              </w:rPr>
              <w:t>Enron Tester</w:t>
            </w:r>
          </w:p>
        </w:tc>
        <w:tc>
          <w:tcPr>
            <w:tcW w:w="1540" w:type="dxa"/>
            <w:tcBorders>
              <w:bottom w:val="single" w:sz="4" w:space="0" w:color="000000"/>
              <w:end w:val="single" w:sz="4" w:space="0" w:color="000000"/>
            </w:tcBorders>
            <w:shd w:fill="00FF00" w:val="clear"/>
            <w:vAlign w:val="bottom"/>
          </w:tcPr>
          <w:p>
            <w:pPr>
              <w:pStyle w:val="Normal"/>
              <w:rPr>
                <w:rFonts w:ascii="Arial" w:hAnsi="Arial" w:cs="Arial"/>
              </w:rPr>
            </w:pPr>
            <w:r>
              <w:rPr>
                <w:rFonts w:cs="Arial" w:ascii="Arial" w:hAnsi="Arial"/>
              </w:rPr>
              <w:t>enrontester</w:t>
            </w:r>
          </w:p>
        </w:tc>
        <w:tc>
          <w:tcPr>
            <w:tcW w:w="1560" w:type="dxa"/>
            <w:tcBorders>
              <w:bottom w:val="single" w:sz="4" w:space="0" w:color="000000"/>
              <w:end w:val="single" w:sz="4" w:space="0" w:color="000000"/>
            </w:tcBorders>
            <w:shd w:fill="FF0000" w:val="clear"/>
            <w:vAlign w:val="bottom"/>
          </w:tcPr>
          <w:p>
            <w:pPr>
              <w:pStyle w:val="Normal"/>
              <w:rPr>
                <w:rFonts w:ascii="Courier New" w:hAnsi="Courier New" w:cs="Courier New"/>
              </w:rPr>
            </w:pPr>
            <w:r>
              <w:rPr>
                <w:rFonts w:cs="Courier New" w:ascii="Courier New" w:hAnsi="Courier New"/>
              </w:rPr>
              <w:t>3edc6yhn4rfv</w:t>
            </w:r>
          </w:p>
        </w:tc>
      </w:tr>
    </w:tbl>
    <w:p>
      <w:pPr>
        <w:pStyle w:val="Normal"/>
        <w:autoSpaceDE w:val="false"/>
        <w:rPr>
          <w:sz w:val="24"/>
        </w:rPr>
      </w:pPr>
      <w:r>
        <w:rPr>
          <w:sz w:val="24"/>
        </w:rPr>
      </w:r>
    </w:p>
    <w:p>
      <w:pPr>
        <w:pStyle w:val="Normal"/>
        <w:autoSpaceDE w:val="false"/>
        <w:rPr>
          <w:sz w:val="24"/>
        </w:rPr>
      </w:pPr>
      <w:r>
        <w:rPr>
          <w:sz w:val="24"/>
        </w:rPr>
        <w:t xml:space="preserve">Please note that the User ID and Password is for the testing period ONLY and you will be required to have your official User ID and Password set up prior to being able to access the CWI for 10/1/01 (the Preschedule Day being 9/28/01).  </w:t>
      </w:r>
    </w:p>
    <w:p>
      <w:pPr>
        <w:pStyle w:val="Normal"/>
        <w:autoSpaceDE w:val="false"/>
        <w:rPr>
          <w:sz w:val="24"/>
        </w:rPr>
      </w:pPr>
      <w:r>
        <w:rPr>
          <w:sz w:val="24"/>
        </w:rPr>
      </w:r>
    </w:p>
    <w:p>
      <w:pPr>
        <w:pStyle w:val="Normal"/>
        <w:autoSpaceDE w:val="false"/>
        <w:rPr/>
      </w:pPr>
      <w:r>
        <w:rPr>
          <w:sz w:val="24"/>
        </w:rPr>
        <w:t xml:space="preserve">The customers involved for this test are PNGC, Enron, BPAP, PAC, and PRM.  We will be conducting the testing on </w:t>
      </w:r>
      <w:r>
        <w:rPr>
          <w:b/>
          <w:bCs/>
          <w:sz w:val="24"/>
        </w:rPr>
        <w:t>Tuesday, September 11</w:t>
      </w:r>
      <w:r>
        <w:rPr>
          <w:sz w:val="24"/>
        </w:rPr>
        <w:t xml:space="preserve"> and </w:t>
      </w:r>
      <w:r>
        <w:rPr>
          <w:b/>
          <w:bCs/>
          <w:sz w:val="24"/>
        </w:rPr>
        <w:t>Thursday, September 13 only</w:t>
      </w:r>
      <w:r>
        <w:rPr>
          <w:sz w:val="24"/>
        </w:rPr>
        <w:t xml:space="preserve">.   </w:t>
      </w:r>
    </w:p>
    <w:p>
      <w:pPr>
        <w:pStyle w:val="Normal"/>
        <w:autoSpaceDE w:val="false"/>
        <w:rPr>
          <w:sz w:val="24"/>
        </w:rPr>
      </w:pPr>
      <w:r>
        <w:rPr>
          <w:sz w:val="24"/>
        </w:rPr>
      </w:r>
    </w:p>
    <w:p>
      <w:pPr>
        <w:pStyle w:val="Normal"/>
        <w:autoSpaceDE w:val="false"/>
        <w:rPr>
          <w:sz w:val="24"/>
        </w:rPr>
      </w:pPr>
      <w:r>
        <w:rPr>
          <w:sz w:val="24"/>
        </w:rPr>
        <w:t>As you know, the testing of the CWI will be for the preschedule days only and will involve double entry of your accounts (i.e., preschedule as normal and then input those exact same schedules where you are the TCH into the CWI).  BPAT will conduct the following checks during the test:</w:t>
      </w:r>
    </w:p>
    <w:p>
      <w:pPr>
        <w:pStyle w:val="Normal"/>
        <w:autoSpaceDE w:val="false"/>
        <w:rPr>
          <w:sz w:val="24"/>
        </w:rPr>
      </w:pPr>
      <w:r>
        <w:rPr>
          <w:sz w:val="24"/>
        </w:rPr>
      </w:r>
    </w:p>
    <w:p>
      <w:pPr>
        <w:pStyle w:val="Normal"/>
        <w:numPr>
          <w:ilvl w:val="0"/>
          <w:numId w:val="2"/>
        </w:numPr>
        <w:autoSpaceDE w:val="false"/>
        <w:rPr>
          <w:sz w:val="24"/>
        </w:rPr>
      </w:pPr>
      <w:r>
        <w:rPr>
          <w:sz w:val="24"/>
        </w:rPr>
        <w:t>All accounts entered in RODS primary by BPAT schedulers match those entered via the CWI by the transmission customer and show up in RODS development (DC).</w:t>
      </w:r>
    </w:p>
    <w:p>
      <w:pPr>
        <w:pStyle w:val="Normal"/>
        <w:numPr>
          <w:ilvl w:val="0"/>
          <w:numId w:val="2"/>
        </w:numPr>
        <w:autoSpaceDE w:val="false"/>
        <w:rPr>
          <w:sz w:val="24"/>
        </w:rPr>
      </w:pPr>
      <w:r>
        <w:rPr>
          <w:sz w:val="24"/>
        </w:rPr>
        <w:t>Values (signs) of CWI entered data are all in sync for each account for each hour.  Compare RODS primary data to RODS DC.</w:t>
      </w:r>
    </w:p>
    <w:p>
      <w:pPr>
        <w:pStyle w:val="Normal"/>
        <w:numPr>
          <w:ilvl w:val="0"/>
          <w:numId w:val="2"/>
        </w:numPr>
        <w:autoSpaceDE w:val="false"/>
        <w:rPr>
          <w:sz w:val="24"/>
        </w:rPr>
      </w:pPr>
      <w:r>
        <w:rPr>
          <w:sz w:val="24"/>
        </w:rPr>
        <w:t>Southwest accounts entered via the CWI by the transmission customer roll-up into the Northwest accounts correctly.</w:t>
      </w:r>
    </w:p>
    <w:p>
      <w:pPr>
        <w:pStyle w:val="Normal"/>
        <w:numPr>
          <w:ilvl w:val="0"/>
          <w:numId w:val="2"/>
        </w:numPr>
        <w:autoSpaceDE w:val="false"/>
        <w:rPr>
          <w:sz w:val="24"/>
        </w:rPr>
      </w:pPr>
      <w:r>
        <w:rPr>
          <w:sz w:val="24"/>
        </w:rPr>
        <w:t>The transmission customer only enters from the Southwest side of an account (for AC, DC and 3A).</w:t>
      </w:r>
    </w:p>
    <w:p>
      <w:pPr>
        <w:pStyle w:val="Normal"/>
        <w:numPr>
          <w:ilvl w:val="0"/>
          <w:numId w:val="2"/>
        </w:numPr>
        <w:autoSpaceDE w:val="false"/>
        <w:rPr>
          <w:sz w:val="24"/>
        </w:rPr>
      </w:pPr>
      <w:r>
        <w:rPr>
          <w:sz w:val="24"/>
        </w:rPr>
        <w:t>Products on accounts match in RODS primary and RODS DC.</w:t>
      </w:r>
    </w:p>
    <w:p>
      <w:pPr>
        <w:pStyle w:val="Normal"/>
        <w:numPr>
          <w:ilvl w:val="0"/>
          <w:numId w:val="2"/>
        </w:numPr>
        <w:autoSpaceDE w:val="false"/>
        <w:rPr>
          <w:sz w:val="24"/>
        </w:rPr>
      </w:pPr>
      <w:r>
        <w:rPr>
          <w:sz w:val="24"/>
        </w:rPr>
        <w:t>The audit trail in the CWI captures changes/entries correctly.  (This will hopefully be available for the test)</w:t>
      </w:r>
    </w:p>
    <w:p>
      <w:pPr>
        <w:pStyle w:val="Normal"/>
        <w:numPr>
          <w:ilvl w:val="0"/>
          <w:numId w:val="2"/>
        </w:numPr>
        <w:autoSpaceDE w:val="false"/>
        <w:rPr>
          <w:sz w:val="24"/>
        </w:rPr>
      </w:pPr>
      <w:r>
        <w:rPr>
          <w:sz w:val="24"/>
        </w:rPr>
        <w:t xml:space="preserve">Edit types in the CWI are working properly (i.e., the scheduling windows).  </w:t>
      </w:r>
    </w:p>
    <w:p>
      <w:pPr>
        <w:pStyle w:val="Normal"/>
        <w:numPr>
          <w:ilvl w:val="0"/>
          <w:numId w:val="2"/>
        </w:numPr>
        <w:autoSpaceDE w:val="false"/>
        <w:rPr>
          <w:sz w:val="24"/>
        </w:rPr>
      </w:pPr>
      <w:r>
        <w:rPr>
          <w:sz w:val="24"/>
        </w:rPr>
        <w:t>Passwords for Scheduling Agents work for all customers they represent.</w:t>
      </w:r>
    </w:p>
    <w:p>
      <w:pPr>
        <w:pStyle w:val="Normal"/>
        <w:numPr>
          <w:ilvl w:val="0"/>
          <w:numId w:val="2"/>
        </w:numPr>
        <w:autoSpaceDE w:val="false"/>
        <w:rPr>
          <w:sz w:val="24"/>
        </w:rPr>
      </w:pPr>
      <w:r>
        <w:rPr>
          <w:sz w:val="24"/>
        </w:rPr>
        <w:t>Transmission losses show up by transmission customer without the transmission customer taking any action.</w:t>
      </w:r>
    </w:p>
    <w:p>
      <w:pPr>
        <w:pStyle w:val="Normal"/>
        <w:autoSpaceDE w:val="false"/>
        <w:rPr>
          <w:sz w:val="24"/>
        </w:rPr>
      </w:pPr>
      <w:r>
        <w:rPr>
          <w:sz w:val="24"/>
        </w:rPr>
      </w:r>
    </w:p>
    <w:p>
      <w:pPr>
        <w:pStyle w:val="Normal"/>
        <w:autoSpaceDE w:val="false"/>
        <w:rPr>
          <w:sz w:val="24"/>
        </w:rPr>
      </w:pPr>
      <w:r>
        <w:rPr>
          <w:sz w:val="24"/>
        </w:rPr>
        <w:t>At this time, there will be no testing of the hourly firm products because the structure is not yet available.</w:t>
      </w:r>
    </w:p>
    <w:p>
      <w:pPr>
        <w:pStyle w:val="Normal"/>
        <w:autoSpaceDE w:val="false"/>
        <w:rPr>
          <w:sz w:val="24"/>
        </w:rPr>
      </w:pPr>
      <w:r>
        <w:rPr>
          <w:sz w:val="24"/>
        </w:rPr>
      </w:r>
    </w:p>
    <w:p>
      <w:pPr>
        <w:pStyle w:val="Normal"/>
        <w:autoSpaceDE w:val="false"/>
        <w:rPr>
          <w:sz w:val="24"/>
        </w:rPr>
      </w:pPr>
      <w:r>
        <w:rPr>
          <w:sz w:val="24"/>
        </w:rPr>
        <w:t>The following is a list of CWI enhancements that are available to you for the test which were not available during the customer training.  These enhancements should help make schedule entry faster and allow improved viewing of the data.</w:t>
      </w:r>
    </w:p>
    <w:p>
      <w:pPr>
        <w:pStyle w:val="Normal"/>
        <w:autoSpaceDE w:val="false"/>
        <w:rPr>
          <w:sz w:val="24"/>
        </w:rPr>
      </w:pPr>
      <w:r>
        <w:rPr>
          <w:sz w:val="24"/>
        </w:rPr>
      </w:r>
    </w:p>
    <w:p>
      <w:pPr>
        <w:pStyle w:val="Normal"/>
        <w:autoSpaceDE w:val="false"/>
        <w:rPr>
          <w:sz w:val="24"/>
        </w:rPr>
      </w:pPr>
      <w:r>
        <w:rPr>
          <w:sz w:val="24"/>
        </w:rPr>
      </w:r>
    </w:p>
    <w:p>
      <w:pPr>
        <w:pStyle w:val="Normal"/>
        <w:numPr>
          <w:ilvl w:val="0"/>
          <w:numId w:val="1"/>
        </w:numPr>
        <w:autoSpaceDE w:val="false"/>
        <w:rPr>
          <w:sz w:val="24"/>
        </w:rPr>
      </w:pPr>
      <w:r>
        <w:rPr>
          <w:sz w:val="24"/>
        </w:rPr>
        <w:t>Yellow and Red will now show up in the totals line at the bottom of the page if an hour is yellow/red on one of the pages.  Now the user can tell that there are pending/refused values, even if they aren't shown on the page they are currently displaying.</w:t>
      </w:r>
    </w:p>
    <w:p>
      <w:pPr>
        <w:pStyle w:val="Normal"/>
        <w:autoSpaceDE w:val="false"/>
        <w:rPr>
          <w:sz w:val="24"/>
        </w:rPr>
      </w:pPr>
      <w:r>
        <w:rPr>
          <w:sz w:val="24"/>
        </w:rPr>
      </w:r>
    </w:p>
    <w:p>
      <w:pPr>
        <w:pStyle w:val="Normal"/>
        <w:numPr>
          <w:ilvl w:val="0"/>
          <w:numId w:val="1"/>
        </w:numPr>
        <w:autoSpaceDE w:val="false"/>
        <w:rPr>
          <w:sz w:val="24"/>
        </w:rPr>
      </w:pPr>
      <w:r>
        <w:rPr>
          <w:sz w:val="24"/>
        </w:rPr>
        <w:t xml:space="preserve">Added new feature that allows us to enforce the use of 128 bit encryption (SSL feature).  If the user doesn't have a web browser that supports 128 bit encryption, they will be denied access to the display.  We will require this on the external displays but not on internal versions. </w:t>
      </w:r>
    </w:p>
    <w:p>
      <w:pPr>
        <w:pStyle w:val="Normal"/>
        <w:autoSpaceDE w:val="false"/>
        <w:rPr>
          <w:sz w:val="24"/>
        </w:rPr>
      </w:pPr>
      <w:r>
        <w:rPr>
          <w:sz w:val="24"/>
        </w:rPr>
      </w:r>
    </w:p>
    <w:p>
      <w:pPr>
        <w:pStyle w:val="BodyText"/>
        <w:numPr>
          <w:ilvl w:val="0"/>
          <w:numId w:val="1"/>
        </w:numPr>
        <w:rPr/>
      </w:pPr>
      <w:r>
        <w:rPr/>
        <w:t>When a user clicks in an editable hour field, the current value displayed in the field will be automatically highighted/selected.  By doing this, the user no longer has to backspace or delete the value currently displayed and as soon as they type a number, the old number will be erased.</w:t>
      </w:r>
    </w:p>
    <w:p>
      <w:pPr>
        <w:pStyle w:val="Normal"/>
        <w:autoSpaceDE w:val="false"/>
        <w:rPr>
          <w:sz w:val="24"/>
        </w:rPr>
      </w:pPr>
      <w:r>
        <w:rPr>
          <w:sz w:val="24"/>
        </w:rPr>
      </w:r>
    </w:p>
    <w:p>
      <w:pPr>
        <w:pStyle w:val="Normal"/>
        <w:numPr>
          <w:ilvl w:val="0"/>
          <w:numId w:val="1"/>
        </w:numPr>
        <w:autoSpaceDE w:val="false"/>
        <w:rPr>
          <w:sz w:val="24"/>
        </w:rPr>
      </w:pPr>
      <w:r>
        <w:rPr>
          <w:sz w:val="24"/>
        </w:rPr>
        <w:t>Added quick-entry feature.  You can now type a value, the "*" character and then a multiplyer.  The result is that the value will be placed in the next number of fields specified by the multiplyer.  As an example, if you wanted to enter 25MW in the next 6 hours, you would type "25*6" and press the enter key (or tab key).</w:t>
      </w:r>
    </w:p>
    <w:p>
      <w:pPr>
        <w:pStyle w:val="Normal"/>
        <w:autoSpaceDE w:val="false"/>
        <w:rPr>
          <w:sz w:val="24"/>
        </w:rPr>
      </w:pPr>
      <w:r>
        <w:rPr>
          <w:sz w:val="24"/>
        </w:rPr>
      </w:r>
    </w:p>
    <w:p>
      <w:pPr>
        <w:pStyle w:val="Normal"/>
        <w:numPr>
          <w:ilvl w:val="0"/>
          <w:numId w:val="1"/>
        </w:numPr>
        <w:autoSpaceDE w:val="false"/>
        <w:rPr>
          <w:sz w:val="24"/>
        </w:rPr>
      </w:pPr>
      <w:r>
        <w:rPr>
          <w:sz w:val="24"/>
        </w:rPr>
        <w:t>Added a column to bottom of the display for the sign (- or +) of the account.</w:t>
      </w:r>
    </w:p>
    <w:p>
      <w:pPr>
        <w:pStyle w:val="Normal"/>
        <w:autoSpaceDE w:val="false"/>
        <w:rPr>
          <w:sz w:val="24"/>
        </w:rPr>
      </w:pPr>
      <w:r>
        <w:rPr>
          <w:sz w:val="24"/>
        </w:rPr>
      </w:r>
    </w:p>
    <w:p>
      <w:pPr>
        <w:pStyle w:val="Normal"/>
        <w:numPr>
          <w:ilvl w:val="0"/>
          <w:numId w:val="1"/>
        </w:numPr>
        <w:autoSpaceDE w:val="false"/>
        <w:rPr>
          <w:sz w:val="24"/>
        </w:rPr>
      </w:pPr>
      <w:r>
        <w:rPr>
          <w:sz w:val="24"/>
        </w:rPr>
        <w:t>Display will automatically correct a value entered with the wrong sign.  For example, if a user entered -50 in an account but the number was supposed to be a positive number, the number will be automatically converted to a positive number.  The same is true if a positive number is entered into an account that is suppose to be populated with negative numbers.  Basically you can just enter positive numbers, regardless of the account sign.</w:t>
      </w:r>
    </w:p>
    <w:p>
      <w:pPr>
        <w:pStyle w:val="Normal"/>
        <w:autoSpaceDE w:val="false"/>
        <w:rPr>
          <w:sz w:val="24"/>
        </w:rPr>
      </w:pPr>
      <w:r>
        <w:rPr>
          <w:sz w:val="24"/>
        </w:rPr>
      </w:r>
    </w:p>
    <w:p>
      <w:pPr>
        <w:pStyle w:val="Normal"/>
        <w:numPr>
          <w:ilvl w:val="0"/>
          <w:numId w:val="1"/>
        </w:numPr>
        <w:autoSpaceDE w:val="false"/>
        <w:rPr>
          <w:sz w:val="24"/>
        </w:rPr>
      </w:pPr>
      <w:r>
        <w:rPr>
          <w:sz w:val="24"/>
        </w:rPr>
        <w:t>Widened the source, sink, and TCH drop down boxes so that more of the descriptions can be seen.  To do this, the account title structure link was relocated.</w:t>
      </w:r>
    </w:p>
    <w:p>
      <w:pPr>
        <w:pStyle w:val="Normal"/>
        <w:autoSpaceDE w:val="false"/>
        <w:rPr>
          <w:sz w:val="24"/>
        </w:rPr>
      </w:pPr>
      <w:r>
        <w:rPr>
          <w:sz w:val="24"/>
        </w:rPr>
      </w:r>
    </w:p>
    <w:p>
      <w:pPr>
        <w:pStyle w:val="Normal"/>
        <w:autoSpaceDE w:val="false"/>
        <w:rPr>
          <w:sz w:val="24"/>
        </w:rPr>
      </w:pPr>
      <w:r>
        <w:rPr>
          <w:sz w:val="24"/>
        </w:rPr>
        <w:t>The BPAT test representatives and their personal phone/pager numbers for test days are:</w:t>
      </w:r>
    </w:p>
    <w:p>
      <w:pPr>
        <w:pStyle w:val="Normal"/>
        <w:autoSpaceDE w:val="false"/>
        <w:rPr>
          <w:sz w:val="24"/>
        </w:rPr>
      </w:pPr>
      <w:r>
        <w:rPr>
          <w:sz w:val="24"/>
        </w:rPr>
      </w:r>
    </w:p>
    <w:p>
      <w:pPr>
        <w:pStyle w:val="Normal"/>
        <w:autoSpaceDE w:val="false"/>
        <w:rPr>
          <w:sz w:val="24"/>
        </w:rPr>
      </w:pPr>
      <w:r>
        <w:rPr>
          <w:sz w:val="24"/>
        </w:rPr>
        <w:t xml:space="preserve">Tara Exe  </w:t>
        <w:tab/>
        <w:t>cell phone: 360-607-5380</w:t>
      </w:r>
    </w:p>
    <w:p>
      <w:pPr>
        <w:pStyle w:val="Normal"/>
        <w:autoSpaceDE w:val="false"/>
        <w:rPr>
          <w:sz w:val="24"/>
        </w:rPr>
      </w:pPr>
      <w:r>
        <w:rPr>
          <w:sz w:val="24"/>
        </w:rPr>
      </w:r>
    </w:p>
    <w:p>
      <w:pPr>
        <w:pStyle w:val="Normal"/>
        <w:autoSpaceDE w:val="false"/>
        <w:rPr>
          <w:sz w:val="24"/>
        </w:rPr>
      </w:pPr>
      <w:r>
        <w:rPr>
          <w:sz w:val="24"/>
        </w:rPr>
        <w:t>Shirley Buckmier</w:t>
        <w:tab/>
        <w:t>pager: 1-888-789-4948</w:t>
      </w:r>
    </w:p>
    <w:p>
      <w:pPr>
        <w:pStyle w:val="Normal"/>
        <w:autoSpaceDE w:val="false"/>
        <w:rPr>
          <w:sz w:val="24"/>
        </w:rPr>
      </w:pPr>
      <w:r>
        <w:rPr>
          <w:sz w:val="24"/>
        </w:rPr>
      </w:r>
    </w:p>
    <w:p>
      <w:pPr>
        <w:pStyle w:val="Normal"/>
        <w:autoSpaceDE w:val="false"/>
        <w:rPr>
          <w:sz w:val="24"/>
        </w:rPr>
      </w:pPr>
      <w:r>
        <w:rPr>
          <w:sz w:val="24"/>
        </w:rPr>
        <w:t>Jean McNeil-Keister</w:t>
        <w:tab/>
        <w:t>cell phone: 360-607-9545</w:t>
      </w:r>
    </w:p>
    <w:p>
      <w:pPr>
        <w:pStyle w:val="Normal"/>
        <w:autoSpaceDE w:val="false"/>
        <w:rPr>
          <w:sz w:val="24"/>
        </w:rPr>
      </w:pPr>
      <w:r>
        <w:rPr>
          <w:sz w:val="24"/>
        </w:rPr>
      </w:r>
    </w:p>
    <w:p>
      <w:pPr>
        <w:pStyle w:val="Normal"/>
        <w:autoSpaceDE w:val="false"/>
        <w:rPr>
          <w:sz w:val="24"/>
        </w:rPr>
      </w:pPr>
      <w:r>
        <w:rPr>
          <w:sz w:val="24"/>
        </w:rPr>
        <w:t>Also, you may call our testing site at 360-418-8503 or 360-418-8502 to speak with preschedulers who will be monitoring the RODS DC during the test.</w:t>
      </w:r>
    </w:p>
    <w:p>
      <w:pPr>
        <w:pStyle w:val="Normal"/>
        <w:autoSpaceDE w:val="false"/>
        <w:rPr>
          <w:sz w:val="24"/>
        </w:rPr>
      </w:pPr>
      <w:r>
        <w:rPr>
          <w:sz w:val="24"/>
        </w:rPr>
      </w:r>
    </w:p>
    <w:p>
      <w:pPr>
        <w:pStyle w:val="Normal"/>
        <w:autoSpaceDE w:val="false"/>
        <w:rPr>
          <w:sz w:val="24"/>
        </w:rPr>
      </w:pPr>
      <w:r>
        <w:rPr>
          <w:sz w:val="24"/>
        </w:rPr>
        <w:t xml:space="preserve">Any questions and/or problems during the test should be directed to these representatives as they will be in close communications with BPAT Preschedulers who are using RODS primary and will be better able to troubleshoot problems.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decimal"/>
      <w:lvlText w:val="%1."/>
      <w:lvlJc w:val="start"/>
      <w:pPr>
        <w:tabs>
          <w:tab w:val="num" w:pos="1080"/>
        </w:tabs>
        <w:ind w:start="108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aim.transmission.bpa.gov/tai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2001-09-07T20:02:00Z</dcterms:created>
  <dc:creator>TDE3098</dc:creator>
  <dc:description/>
  <dc:language>en-CA</dc:language>
  <cp:lastModifiedBy>TDE3098</cp:lastModifiedBy>
  <dcterms:modified xsi:type="dcterms:W3CDTF">2001-09-07T20:32:00Z</dcterms:modified>
  <cp:revision>3</cp:revision>
  <dc:subject/>
  <dc:title>Customer Web Interface (CWI) Instructions</dc:title>
</cp:coreProperties>
</file>