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22"/>
        </w:rPr>
        <w:t>Date:</w:t>
      </w:r>
      <w:r>
        <w:rPr>
          <w:sz w:val="22"/>
        </w:rPr>
        <w:tab/>
        <w:t>June 12, 2001</w:t>
      </w:r>
    </w:p>
    <w:p>
      <w:pPr>
        <w:pStyle w:val="Normal"/>
        <w:rPr/>
      </w:pPr>
      <w:r>
        <w:rPr>
          <w:b/>
          <w:sz w:val="22"/>
        </w:rPr>
        <w:t>To:</w:t>
      </w:r>
      <w:r>
        <w:rPr>
          <w:sz w:val="22"/>
        </w:rPr>
        <w:tab/>
        <w:t>John Echols, Brad Nebergall</w:t>
      </w:r>
    </w:p>
    <w:p>
      <w:pPr>
        <w:pStyle w:val="Normal"/>
        <w:rPr/>
      </w:pPr>
      <w:r>
        <w:rPr>
          <w:b/>
          <w:sz w:val="22"/>
        </w:rPr>
        <w:t>From:</w:t>
      </w:r>
      <w:r>
        <w:rPr>
          <w:sz w:val="22"/>
        </w:rPr>
        <w:tab/>
        <w:t>Todd Harris</w:t>
      </w:r>
    </w:p>
    <w:p>
      <w:pPr>
        <w:pStyle w:val="Normal"/>
        <w:rPr/>
      </w:pPr>
      <w:r>
        <w:rPr>
          <w:b/>
          <w:sz w:val="22"/>
        </w:rPr>
        <w:t>RE:</w:t>
      </w:r>
      <w:r>
        <w:rPr>
          <w:sz w:val="22"/>
        </w:rPr>
        <w:tab/>
        <w:t>P&amp;G deal</w:t>
      </w:r>
    </w:p>
    <w:p>
      <w:pPr>
        <w:pStyle w:val="Heading2"/>
        <w:ind w:hanging="0" w:start="0"/>
        <w:rPr/>
      </w:pPr>
      <w:r>
        <w:rPr/>
        <w:t>Transaction 1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Cincinnati – NY, clear-channel DS-3, 12 month, physical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Indexed to NY – LA DS-3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MRC from desk = $3,459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MRC to customer = $3,844</w:t>
      </w:r>
    </w:p>
    <w:p>
      <w:pPr>
        <w:pStyle w:val="Normal"/>
        <w:numPr>
          <w:ilvl w:val="0"/>
          <w:numId w:val="2"/>
        </w:numPr>
        <w:rPr/>
      </w:pPr>
      <w:r>
        <w:rPr>
          <w:sz w:val="22"/>
        </w:rPr>
        <w:t>Maximum Txn Exposure = [11 x (MRC from Desk)] – (Month 1 Profit) = $37,665</w:t>
      </w:r>
    </w:p>
    <w:p>
      <w:pPr>
        <w:pStyle w:val="Heading2"/>
        <w:ind w:hanging="0" w:start="0"/>
        <w:rPr/>
      </w:pPr>
      <w:r>
        <w:rPr/>
        <w:t>Transaction 2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Euskirchen – Schwalbach, clear-channel E-3, 12 month, physical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Indexed to London – Frankfurt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MRC from desk = $2,340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MRC to customer = $2,600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Maximum Txn Exposure = [11 x (MRC from Desk)] – (Month 1 Profit) = $25,740 – 260 = $25,480</w:t>
      </w:r>
    </w:p>
    <w:p>
      <w:pPr>
        <w:pStyle w:val="Heading2"/>
        <w:ind w:hanging="0" w:start="0"/>
        <w:rPr/>
      </w:pPr>
      <w:r>
        <w:rPr/>
        <w:t>Transaction 3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Cincinnati – NY, IP Transit DS-3, 0Mbps committed, 12 month, physical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Indexed to NY – LA DS-3 (perhaps)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MRC from desk = $1,000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Burst $/Mbps from desk = $180 (at each end, therefore $360 total)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Upfront call option premium to customer = $13,000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Burst $/Mbps to customer = $180 (at each end, therefore $360 total)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Maximum Total Exposure</w:t>
      </w:r>
      <w:r>
        <w:rPr>
          <w:sz w:val="22"/>
        </w:rPr>
        <w:t xml:space="preserve"> = $37,665 + 25,480 = </w:t>
      </w:r>
      <w:r>
        <w:rPr>
          <w:b/>
          <w:sz w:val="22"/>
        </w:rPr>
        <w:t>$63,145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Expected-Case Calculations</w:t>
      </w:r>
    </w:p>
    <w:tbl>
      <w:tblPr>
        <w:tblW w:w="5177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00"/>
        <w:gridCol w:w="1183"/>
        <w:gridCol w:w="300"/>
        <w:gridCol w:w="1011"/>
        <w:gridCol w:w="1010"/>
        <w:gridCol w:w="1073"/>
        <w:gridCol w:w="300"/>
      </w:tblGrid>
      <w:tr>
        <w:trPr>
          <w:trHeight w:val="247" w:hRule="atLeast"/>
        </w:trPr>
        <w:tc>
          <w:tcPr>
            <w:tcW w:w="30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83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0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0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30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0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NRC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MRC</w:t>
            </w:r>
          </w:p>
        </w:tc>
        <w:tc>
          <w:tcPr>
            <w:tcW w:w="107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TCV</w:t>
            </w:r>
          </w:p>
        </w:tc>
        <w:tc>
          <w:tcPr>
            <w:tcW w:w="30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30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Txn 1 </w:t>
            </w:r>
          </w:p>
        </w:tc>
        <w:tc>
          <w:tcPr>
            <w:tcW w:w="30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-   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3,844 </w:t>
            </w:r>
          </w:p>
        </w:tc>
        <w:tc>
          <w:tcPr>
            <w:tcW w:w="1073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46,126 </w:t>
            </w:r>
          </w:p>
        </w:tc>
        <w:tc>
          <w:tcPr>
            <w:tcW w:w="30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30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Txn 2 </w:t>
            </w:r>
          </w:p>
        </w:tc>
        <w:tc>
          <w:tcPr>
            <w:tcW w:w="30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$ 12,000 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$ 11,290 </w:t>
            </w:r>
          </w:p>
        </w:tc>
        <w:tc>
          <w:tcPr>
            <w:tcW w:w="1073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$147,480 </w:t>
            </w:r>
          </w:p>
        </w:tc>
        <w:tc>
          <w:tcPr>
            <w:tcW w:w="30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90" w:hRule="atLeast"/>
        </w:trPr>
        <w:tc>
          <w:tcPr>
            <w:tcW w:w="30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Txn 3 </w:t>
            </w:r>
          </w:p>
        </w:tc>
        <w:tc>
          <w:tcPr>
            <w:tcW w:w="30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u w:val="single"/>
                <w:lang w:eastAsia="en-US"/>
              </w:rPr>
              <w:t xml:space="preserve">$ 13,000 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u w:val="single"/>
                <w:lang w:eastAsia="en-US"/>
              </w:rPr>
              <w:t xml:space="preserve">$          -   </w:t>
            </w:r>
          </w:p>
        </w:tc>
        <w:tc>
          <w:tcPr>
            <w:tcW w:w="1073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u w:val="single"/>
                <w:lang w:eastAsia="en-US"/>
              </w:rPr>
              <w:t xml:space="preserve">$  13,000 </w:t>
            </w:r>
          </w:p>
        </w:tc>
        <w:tc>
          <w:tcPr>
            <w:tcW w:w="30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u w:val="single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30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Total </w:t>
            </w:r>
          </w:p>
        </w:tc>
        <w:tc>
          <w:tcPr>
            <w:tcW w:w="30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$ 25,000 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$ 15,134 </w:t>
            </w:r>
          </w:p>
        </w:tc>
        <w:tc>
          <w:tcPr>
            <w:tcW w:w="1073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$206,606 </w:t>
            </w:r>
          </w:p>
        </w:tc>
        <w:tc>
          <w:tcPr>
            <w:tcW w:w="30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30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83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0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0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2001-06-12T19:02:00Z</dcterms:created>
  <dc:creator>todd_harris</dc:creator>
  <dc:description/>
  <dc:language>en-CA</dc:language>
  <cp:lastModifiedBy>todd_harris</cp:lastModifiedBy>
  <cp:lastPrinted>2001-06-12T17:12:00Z</cp:lastPrinted>
  <dcterms:modified xsi:type="dcterms:W3CDTF">2001-06-12T20:01:00Z</dcterms:modified>
  <cp:revision>6</cp:revision>
  <dc:subject/>
  <dc:title>Transaction 1</dc:title>
</cp:coreProperties>
</file>