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w:hAnsi="Arial" w:cs="Arial"/>
          <w:b/>
        </w:rPr>
      </w:pPr>
      <w:r>
        <w:rPr>
          <w:rFonts w:cs="Arial" w:ascii="Arial" w:hAnsi="Arial"/>
          <w:b/>
        </w:rPr>
        <w:t>"SPOT" GENERAL TERMS &amp; CONDITIONS</w:t>
      </w:r>
    </w:p>
    <w:p>
      <w:pPr>
        <w:pStyle w:val="Normal"/>
        <w:jc w:val="both"/>
        <w:rPr>
          <w:rFonts w:ascii="Arial Narrow" w:hAnsi="Arial Narrow" w:cs="Arial Narrow"/>
          <w:b/>
          <w:sz w:val="20"/>
          <w:u w:val="single"/>
        </w:rPr>
      </w:pPr>
      <w:r>
        <w:rPr>
          <w:rFonts w:cs="Arial Narrow" w:ascii="Arial Narrow" w:hAnsi="Arial Narrow"/>
          <w:b/>
          <w:sz w:val="20"/>
          <w:u w:val="single"/>
        </w:rPr>
      </w:r>
    </w:p>
    <w:p>
      <w:pPr>
        <w:pStyle w:val="Normal"/>
        <w:jc w:val="both"/>
        <w:rPr/>
      </w:pPr>
      <w:r>
        <w:rPr>
          <w:rFonts w:cs="Arial" w:ascii="Arial" w:hAnsi="Arial"/>
          <w:b/>
          <w:sz w:val="18"/>
          <w:u w:val="single"/>
        </w:rPr>
        <w:t>1. Transactions</w:t>
      </w:r>
      <w:r>
        <w:rPr>
          <w:rFonts w:cs="Arial" w:ascii="Arial" w:hAnsi="Arial"/>
          <w:sz w:val="18"/>
        </w:rPr>
        <w:t>. The parties shall engage in transactions in accordance with these terms and conditions (this "</w:t>
      </w:r>
      <w:r>
        <w:rPr>
          <w:rFonts w:cs="Arial" w:ascii="Arial" w:hAnsi="Arial"/>
          <w:sz w:val="18"/>
          <w:u w:val="single"/>
        </w:rPr>
        <w:t>Spot GTC</w:t>
      </w:r>
      <w:r>
        <w:rPr>
          <w:rFonts w:cs="Arial" w:ascii="Arial" w:hAnsi="Arial"/>
          <w:sz w:val="18"/>
        </w:rPr>
        <w:t>") and confirmations of transactions ("</w:t>
      </w:r>
      <w:r>
        <w:rPr>
          <w:rFonts w:cs="Arial" w:ascii="Arial" w:hAnsi="Arial"/>
          <w:sz w:val="18"/>
          <w:u w:val="single"/>
        </w:rPr>
        <w:t>Spot Confirmations</w:t>
      </w:r>
      <w:r>
        <w:rPr>
          <w:rFonts w:cs="Arial" w:ascii="Arial" w:hAnsi="Arial"/>
          <w:sz w:val="18"/>
        </w:rPr>
        <w:t>") referencing this Spot GTC, which may be issued at the discretion of Company therein identified.  Transactions may be formed in a recorded telephone conversation between the parties whereby an offer and acceptance shall constitute a valid and enforceable agreement of the parties subject to this Spot GTC and all transactions between the parties shall be considered a single master agreement governed by this Spot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Spot GTC under laws relating to (i) whether certain agreements are to be in writing or signed by the party to be thereby bound or (ii) the authority of any employee of the party.  This Spot GTC, each transaction and the rights and duties of the parties arising herefrom shall be governed by the laws of Texas.</w:t>
      </w:r>
      <w:r>
        <w:rPr>
          <w:rFonts w:cs="Arial" w:ascii="Arial" w:hAnsi="Arial"/>
          <w:caps/>
          <w:sz w:val="18"/>
        </w:rPr>
        <w:t xml:space="preserve">  </w:t>
      </w:r>
      <w:r>
        <w:rPr>
          <w:rFonts w:cs="Arial" w:ascii="Arial" w:hAnsi="Arial"/>
          <w:b/>
          <w:sz w:val="18"/>
        </w:rPr>
        <w:t>Upon issuance of a Spot Confirmation, if no objection to the Spot Confirmation has been received in accordance with applicable law, the Spot Confirmation shall be conclusive evidence of the transaction made the subject matter thereof and the final expression of all of its terms.</w:t>
      </w:r>
      <w:r>
        <w:rPr>
          <w:rFonts w:cs="Arial" w:ascii="Arial" w:hAnsi="Arial"/>
          <w:sz w:val="18"/>
        </w:rPr>
        <w:t xml:space="preserve">  The </w:t>
      </w:r>
      <w:r>
        <w:rPr>
          <w:rFonts w:cs="Arial" w:ascii="Arial" w:hAnsi="Arial"/>
          <w:b/>
          <w:sz w:val="18"/>
        </w:rPr>
        <w:t>DCQ</w:t>
      </w:r>
      <w:r>
        <w:rPr>
          <w:rFonts w:cs="Arial" w:ascii="Arial" w:hAnsi="Arial"/>
          <w:sz w:val="18"/>
        </w:rPr>
        <w:t xml:space="preserve"> (“Daily Contract Quantity”) shall be scheduled by </w:t>
      </w:r>
      <w:r>
        <w:rPr>
          <w:rFonts w:cs="Arial" w:ascii="Arial" w:hAnsi="Arial"/>
          <w:b/>
          <w:sz w:val="18"/>
        </w:rPr>
        <w:t xml:space="preserve">Seller </w:t>
      </w:r>
      <w:r>
        <w:rPr>
          <w:rFonts w:cs="Arial" w:ascii="Arial" w:hAnsi="Arial"/>
          <w:sz w:val="18"/>
        </w:rPr>
        <w:t xml:space="preserve">and </w:t>
      </w:r>
      <w:r>
        <w:rPr>
          <w:rFonts w:cs="Arial" w:ascii="Arial" w:hAnsi="Arial"/>
          <w:b/>
          <w:sz w:val="18"/>
        </w:rPr>
        <w:t xml:space="preserve">Buyer </w:t>
      </w:r>
      <w:r>
        <w:rPr>
          <w:rFonts w:cs="Arial" w:ascii="Arial" w:hAnsi="Arial"/>
          <w:sz w:val="18"/>
        </w:rPr>
        <w:t xml:space="preserve">at the </w:t>
      </w:r>
      <w:r>
        <w:rPr>
          <w:rFonts w:cs="Arial" w:ascii="Arial" w:hAnsi="Arial"/>
          <w:b/>
          <w:sz w:val="18"/>
        </w:rPr>
        <w:t>Delivery Point(s)</w:t>
      </w:r>
      <w:r>
        <w:rPr>
          <w:rFonts w:cs="Arial" w:ascii="Arial" w:hAnsi="Arial"/>
          <w:sz w:val="18"/>
        </w:rPr>
        <w:t xml:space="preserve"> during the </w:t>
      </w:r>
      <w:r>
        <w:rPr>
          <w:rFonts w:cs="Arial" w:ascii="Arial" w:hAnsi="Arial"/>
          <w:b/>
          <w:sz w:val="18"/>
        </w:rPr>
        <w:t>Period of Delivery</w:t>
      </w:r>
      <w:r>
        <w:rPr>
          <w:rFonts w:cs="Arial" w:ascii="Arial" w:hAnsi="Arial"/>
          <w:sz w:val="18"/>
        </w:rPr>
        <w:t xml:space="preserve"> and at the </w:t>
      </w:r>
      <w:r>
        <w:rPr>
          <w:rFonts w:cs="Arial" w:ascii="Arial" w:hAnsi="Arial"/>
          <w:b/>
          <w:sz w:val="18"/>
        </w:rPr>
        <w:t xml:space="preserve">Contract Price </w:t>
      </w:r>
      <w:r>
        <w:rPr>
          <w:rFonts w:cs="Arial" w:ascii="Arial" w:hAnsi="Arial"/>
          <w:sz w:val="18"/>
        </w:rPr>
        <w:t>as provided in each transaction.  Each transaction shall indicate the "</w:t>
      </w:r>
      <w:r>
        <w:rPr>
          <w:rFonts w:cs="Arial" w:ascii="Arial" w:hAnsi="Arial"/>
          <w:sz w:val="18"/>
          <w:u w:val="single"/>
        </w:rPr>
        <w:t>Tier</w:t>
      </w:r>
      <w:r>
        <w:rPr>
          <w:rFonts w:cs="Arial" w:ascii="Arial" w:hAnsi="Arial"/>
          <w:sz w:val="18"/>
        </w:rPr>
        <w:t>" of gas applicable to the DCQ during  the Period of Delivery:</w:t>
      </w:r>
    </w:p>
    <w:p>
      <w:pPr>
        <w:pStyle w:val="Normal"/>
        <w:ind w:end="-36"/>
        <w:jc w:val="both"/>
        <w:rPr/>
      </w:pPr>
      <w:r>
        <w:rPr>
          <w:rFonts w:cs="Arial" w:ascii="Arial" w:hAnsi="Arial"/>
          <w:sz w:val="18"/>
        </w:rPr>
        <w:t>"</w:t>
      </w:r>
      <w:r>
        <w:rPr>
          <w:rFonts w:cs="Arial" w:ascii="Arial" w:hAnsi="Arial"/>
          <w:b/>
          <w:sz w:val="18"/>
          <w:u w:val="single"/>
        </w:rPr>
        <w:t>Interruptible Gas</w:t>
      </w:r>
      <w:r>
        <w:rPr>
          <w:rFonts w:cs="Arial" w:ascii="Arial" w:hAnsi="Arial"/>
          <w:sz w:val="18"/>
        </w:rPr>
        <w:t>"--subject hereto, both parties may without liability interrupt, in whole or in part, scheduling the DCQ in accordance with the provisions hereof for any reason; or "</w:t>
      </w:r>
      <w:r>
        <w:rPr>
          <w:rFonts w:cs="Arial" w:ascii="Arial" w:hAnsi="Arial"/>
          <w:b/>
          <w:sz w:val="18"/>
          <w:u w:val="single"/>
        </w:rPr>
        <w:t>Firm Gas</w:t>
      </w:r>
      <w:r>
        <w:rPr>
          <w:rFonts w:cs="Arial" w:ascii="Arial" w:hAnsi="Arial"/>
          <w:sz w:val="18"/>
        </w:rPr>
        <w:t xml:space="preserve">"--subject hereto, both parties are firmly obligated to schedule the DCQ for a period less than or equal to one month. </w:t>
      </w:r>
    </w:p>
    <w:p>
      <w:pPr>
        <w:pStyle w:val="Normal"/>
        <w:jc w:val="both"/>
        <w:rPr/>
      </w:pPr>
      <w:r>
        <w:rPr>
          <w:rFonts w:cs="Arial" w:ascii="Arial" w:hAnsi="Arial"/>
          <w:b/>
          <w:sz w:val="18"/>
          <w:u w:val="single"/>
        </w:rPr>
        <w:t>2. Quantity Obligations</w:t>
      </w:r>
      <w:r>
        <w:rPr>
          <w:rFonts w:cs="Arial" w:ascii="Arial" w:hAnsi="Arial"/>
          <w:sz w:val="18"/>
        </w:rPr>
        <w:t>.</w:t>
      </w:r>
      <w:r>
        <w:rPr>
          <w:rFonts w:cs="Arial" w:ascii="Arial" w:hAnsi="Arial"/>
          <w:b/>
          <w:sz w:val="18"/>
        </w:rPr>
        <w:t xml:space="preserve">  </w:t>
      </w:r>
    </w:p>
    <w:p>
      <w:pPr>
        <w:pStyle w:val="Normal"/>
        <w:jc w:val="both"/>
        <w:rPr/>
      </w:pPr>
      <w:r>
        <w:rPr>
          <w:rFonts w:cs="Arial" w:ascii="Arial" w:hAnsi="Arial"/>
          <w:b/>
          <w:sz w:val="18"/>
          <w:u w:val="single"/>
        </w:rPr>
        <w:t>2.1. Tier 1 Interruptible Gas</w:t>
      </w:r>
      <w:r>
        <w:rPr>
          <w:rFonts w:cs="Arial" w:ascii="Arial" w:hAnsi="Arial"/>
          <w:sz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w:ascii="Arial" w:hAnsi="Arial"/>
          <w:b/>
          <w:sz w:val="18"/>
          <w:u w:val="single"/>
        </w:rPr>
        <w:t>2.2. Interruption Without Notice</w:t>
      </w:r>
      <w:r>
        <w:rPr>
          <w:rFonts w:cs="Arial" w:ascii="Arial" w:hAnsi="Arial"/>
          <w:b/>
          <w:sz w:val="18"/>
        </w:rPr>
        <w:t xml:space="preserve"> </w:t>
      </w:r>
      <w:r>
        <w:rPr>
          <w:rFonts w:cs="Arial" w:ascii="Arial" w:hAnsi="Arial"/>
          <w:sz w:val="18"/>
        </w:rPr>
        <w:t xml:space="preserve">Should an interruption occur without the required notice, the interrupting party shall be liable for and pay all associated penalties and cashout costs and losses charged by either transporter.  </w:t>
      </w:r>
    </w:p>
    <w:p>
      <w:pPr>
        <w:pStyle w:val="Normal"/>
        <w:jc w:val="both"/>
        <w:rPr/>
      </w:pPr>
      <w:r>
        <w:rPr>
          <w:rFonts w:cs="Arial" w:ascii="Arial" w:hAnsi="Arial"/>
          <w:b/>
          <w:sz w:val="18"/>
          <w:u w:val="single"/>
        </w:rPr>
        <w:t>2.3. Tier 3 Firm Gas</w:t>
      </w:r>
      <w:r>
        <w:rPr>
          <w:rFonts w:cs="Arial" w:ascii="Arial" w:hAnsi="Arial"/>
          <w:sz w:val="18"/>
        </w:rPr>
        <w:t xml:space="preserve"> Each of Seller and Buyer shall schedule at the Delivery Point(s) each day on a firm basis a quantity of gas equal to the DCQ.  If on any day Seller fails to schedule the DCQ, then such occurrence shall constitute a "</w:t>
      </w:r>
      <w:r>
        <w:rPr>
          <w:rFonts w:cs="Arial" w:ascii="Arial" w:hAnsi="Arial"/>
          <w:sz w:val="18"/>
          <w:u w:val="single"/>
        </w:rPr>
        <w:t>Seller's Deficiency Default</w:t>
      </w:r>
      <w:r>
        <w:rPr>
          <w:rFonts w:cs="Arial" w:ascii="Arial" w:hAnsi="Arial"/>
          <w:sz w:val="18"/>
        </w:rPr>
        <w:t>" and "</w:t>
      </w:r>
      <w:r>
        <w:rPr>
          <w:rFonts w:cs="Arial" w:ascii="Arial" w:hAnsi="Arial"/>
          <w:sz w:val="18"/>
          <w:u w:val="single"/>
        </w:rPr>
        <w:t>Seller's Deficiency Quantity</w:t>
      </w:r>
      <w:r>
        <w:rPr>
          <w:rFonts w:cs="Arial" w:ascii="Arial" w:hAnsi="Arial"/>
          <w:sz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w:ascii="Arial" w:hAnsi="Arial"/>
          <w:sz w:val="18"/>
          <w:u w:val="single"/>
        </w:rPr>
        <w:t>Buyer's Deficiency Default</w:t>
      </w:r>
      <w:r>
        <w:rPr>
          <w:rFonts w:cs="Arial" w:ascii="Arial" w:hAnsi="Arial"/>
          <w:sz w:val="18"/>
        </w:rPr>
        <w:t>" and "</w:t>
      </w:r>
      <w:r>
        <w:rPr>
          <w:rFonts w:cs="Arial" w:ascii="Arial" w:hAnsi="Arial"/>
          <w:sz w:val="18"/>
          <w:u w:val="single"/>
        </w:rPr>
        <w:t>Buyer's Deficiency Quantity</w:t>
      </w:r>
      <w:r>
        <w:rPr>
          <w:rFonts w:cs="Arial" w:ascii="Arial" w:hAnsi="Arial"/>
          <w:sz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w:ascii="Arial" w:hAnsi="Arial"/>
          <w:sz w:val="18"/>
          <w:u w:val="single"/>
        </w:rPr>
        <w:t>Replacement Price Differential</w:t>
      </w:r>
      <w:r>
        <w:rPr>
          <w:rFonts w:cs="Arial" w:ascii="Arial" w:hAnsi="Arial"/>
          <w:sz w:val="18"/>
        </w:rPr>
        <w:t xml:space="preserve">" means (i) in the event of a Seller's Deficiency Default, the positive difference, if any, obtained by subtracting the Contract Price </w:t>
      </w:r>
      <w:r>
        <w:rPr>
          <w:rFonts w:cs="Arial" w:ascii="Arial" w:hAnsi="Arial"/>
          <w:sz w:val="18"/>
          <w:u w:val="single"/>
        </w:rPr>
        <w:t>from</w:t>
      </w:r>
      <w:r>
        <w:rPr>
          <w:rFonts w:cs="Arial" w:ascii="Arial" w:hAnsi="Arial"/>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18"/>
          <w:u w:val="single"/>
        </w:rPr>
        <w:t>from</w:t>
      </w:r>
      <w:r>
        <w:rPr>
          <w:rFonts w:cs="Arial" w:ascii="Arial" w:hAnsi="Arial"/>
          <w:sz w:val="18"/>
        </w:rPr>
        <w:t xml:space="preserve"> the Contract Price. .  "</w:t>
      </w:r>
      <w:r>
        <w:rPr>
          <w:rFonts w:cs="Arial" w:ascii="Arial" w:hAnsi="Arial"/>
          <w:sz w:val="18"/>
          <w:u w:val="single"/>
        </w:rPr>
        <w:t>Spot Price</w:t>
      </w:r>
      <w:r>
        <w:rPr>
          <w:rFonts w:cs="Arial" w:ascii="Arial" w:hAnsi="Arial"/>
          <w:sz w:val="18"/>
        </w:rPr>
        <w:t xml:space="preserve">" means the "Daily Midpoint" price set forth in </w:t>
      </w:r>
      <w:r>
        <w:rPr>
          <w:rFonts w:cs="Arial" w:ascii="Arial" w:hAnsi="Arial"/>
          <w:sz w:val="18"/>
          <w:u w:val="single"/>
        </w:rPr>
        <w:t>Gas Daily</w:t>
      </w:r>
      <w:r>
        <w:rPr>
          <w:rFonts w:cs="Arial" w:ascii="Arial" w:hAnsi="Arial"/>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jc w:val="both"/>
        <w:rPr/>
      </w:pPr>
      <w:r>
        <w:rPr>
          <w:rFonts w:cs="Arial" w:ascii="Arial" w:hAnsi="Arial"/>
          <w:b/>
          <w:sz w:val="18"/>
          <w:u w:val="single"/>
        </w:rPr>
        <w:t>3. Payments/Early Termination</w:t>
      </w:r>
      <w:r>
        <w:rPr>
          <w:rFonts w:cs="Arial" w:ascii="Arial" w:hAnsi="Arial"/>
          <w:sz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cs="Arial" w:ascii="Arial" w:hAnsi="Arial"/>
          <w:b/>
          <w:sz w:val="18"/>
          <w:u w:val="single"/>
        </w:rPr>
        <w:t>4. Force Majeure</w:t>
      </w:r>
      <w:r>
        <w:rPr>
          <w:rFonts w:cs="Arial" w:ascii="Arial" w:hAnsi="Arial"/>
          <w:sz w:val="18"/>
        </w:rPr>
        <w:t>.</w:t>
      </w:r>
      <w:r>
        <w:rPr>
          <w:rFonts w:cs="Arial" w:ascii="Arial" w:hAnsi="Arial"/>
          <w:b/>
          <w:sz w:val="18"/>
        </w:rPr>
        <w:t xml:space="preserve"> </w:t>
      </w:r>
      <w:r>
        <w:rPr>
          <w:rFonts w:cs="Arial" w:ascii="Arial" w:hAnsi="Arial"/>
          <w:sz w:val="18"/>
        </w:rPr>
        <w:t xml:space="preserve">In the event either party is rendered unable, wholly or in part, by </w:t>
      </w:r>
      <w:r>
        <w:rPr>
          <w:rFonts w:cs="Arial" w:ascii="Arial" w:hAnsi="Arial"/>
          <w:sz w:val="18"/>
          <w:u w:val="single"/>
        </w:rPr>
        <w:t>Force Majeure</w:t>
      </w:r>
      <w:r>
        <w:rPr>
          <w:rFonts w:cs="Arial" w:ascii="Arial" w:hAnsi="Arial"/>
          <w:sz w:val="18"/>
        </w:rPr>
        <w:t xml:space="preserve"> to carry out its obligations, other than payment, it is agreed that upon such party's giving notice of such </w:t>
      </w:r>
      <w:r>
        <w:rPr>
          <w:rFonts w:cs="Arial" w:ascii="Arial" w:hAnsi="Arial"/>
          <w:sz w:val="18"/>
          <w:u w:val="single"/>
        </w:rPr>
        <w:t>Force Majeure</w:t>
      </w:r>
      <w:r>
        <w:rPr>
          <w:rFonts w:cs="Arial" w:ascii="Arial" w:hAnsi="Arial"/>
          <w:sz w:val="18"/>
        </w:rPr>
        <w:t xml:space="preserve"> to the other party, the obligations of the party giving such notice, to the extent affected by such event, shall be suspended from the inception and during the continuance of the </w:t>
      </w:r>
      <w:r>
        <w:rPr>
          <w:rFonts w:cs="Arial" w:ascii="Arial" w:hAnsi="Arial"/>
          <w:sz w:val="18"/>
          <w:u w:val="single"/>
        </w:rPr>
        <w:t>Force Majeure</w:t>
      </w:r>
      <w:r>
        <w:rPr>
          <w:rFonts w:cs="Arial" w:ascii="Arial" w:hAnsi="Arial"/>
          <w:sz w:val="18"/>
        </w:rPr>
        <w:t>.  "</w:t>
      </w:r>
      <w:r>
        <w:rPr>
          <w:rFonts w:cs="Arial" w:ascii="Arial" w:hAnsi="Arial"/>
          <w:b/>
          <w:i/>
          <w:sz w:val="18"/>
          <w:u w:val="single"/>
        </w:rPr>
        <w:t>Force Majeure</w:t>
      </w:r>
      <w:r>
        <w:rPr>
          <w:rFonts w:cs="Arial" w:ascii="Arial" w:hAnsi="Arial"/>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18"/>
          <w:u w:val="single"/>
        </w:rPr>
        <w:t>Force Majeure</w:t>
      </w:r>
      <w:r>
        <w:rPr>
          <w:rFonts w:cs="Arial" w:ascii="Arial" w:hAnsi="Arial"/>
          <w:sz w:val="18"/>
        </w:rPr>
        <w:t>.  "</w:t>
      </w:r>
      <w:r>
        <w:rPr>
          <w:rFonts w:cs="Arial" w:ascii="Arial" w:hAnsi="Arial"/>
          <w:sz w:val="18"/>
          <w:u w:val="single"/>
        </w:rPr>
        <w:t>Force Majeure</w:t>
      </w:r>
      <w:r>
        <w:rPr>
          <w:rFonts w:cs="Arial" w:ascii="Arial" w:hAnsi="Arial"/>
          <w:sz w:val="18"/>
        </w:rPr>
        <w:t xml:space="preserve">" shall include an event of </w:t>
      </w:r>
      <w:r>
        <w:rPr>
          <w:rFonts w:cs="Arial" w:ascii="Arial" w:hAnsi="Arial"/>
          <w:sz w:val="18"/>
          <w:u w:val="single"/>
        </w:rPr>
        <w:t>Force Majeure</w:t>
      </w:r>
      <w:r>
        <w:rPr>
          <w:rFonts w:cs="Arial" w:ascii="Arial" w:hAnsi="Arial"/>
          <w:sz w:val="18"/>
        </w:rPr>
        <w:t xml:space="preserve"> occurring with respect to the services of transporters.</w:t>
      </w:r>
    </w:p>
    <w:p>
      <w:pPr>
        <w:pStyle w:val="Normal"/>
        <w:jc w:val="both"/>
        <w:rPr/>
      </w:pPr>
      <w:r>
        <w:rPr>
          <w:rFonts w:cs="Arial" w:ascii="Arial" w:hAnsi="Arial"/>
          <w:b/>
          <w:sz w:val="18"/>
          <w:u w:val="single"/>
        </w:rPr>
        <w:t>5. Taxes</w:t>
      </w:r>
      <w:r>
        <w:rPr>
          <w:rFonts w:cs="Arial" w:ascii="Arial" w:hAnsi="Arial"/>
          <w:sz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w:ascii="Arial" w:hAnsi="Arial"/>
          <w:b/>
          <w:sz w:val="18"/>
          <w:u w:val="single"/>
        </w:rPr>
        <w:t>6. Title/Risk of Loss/Imbalances</w:t>
      </w:r>
      <w:r>
        <w:rPr>
          <w:rFonts w:cs="Arial" w:ascii="Arial" w:hAnsi="Arial"/>
          <w:sz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caps/>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b/>
          <w:sz w:val="18"/>
        </w:rPr>
        <w:t xml:space="preserve">.  </w:t>
      </w:r>
      <w:r>
        <w:rPr>
          <w:rFonts w:cs="Arial" w:ascii="Arial" w:hAnsi="Arial"/>
          <w:sz w:val="18"/>
        </w:rPr>
        <w:t xml:space="preserve">Differences between scheduled and actual quantities will be settled in cash or gas or by offset as agreed.  </w:t>
      </w:r>
    </w:p>
    <w:p>
      <w:pPr>
        <w:pStyle w:val="Normal"/>
        <w:jc w:val="both"/>
        <w:rPr/>
      </w:pPr>
      <w:r>
        <w:rPr>
          <w:rFonts w:cs="Arial" w:ascii="Arial" w:hAnsi="Arial"/>
          <w:b/>
          <w:sz w:val="18"/>
          <w:u w:val="single"/>
        </w:rPr>
        <w:t>7. Operations</w:t>
      </w:r>
      <w:r>
        <w:rPr>
          <w:rFonts w:cs="Arial" w:ascii="Arial" w:hAnsi="Arial"/>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w:ascii="Arial" w:hAnsi="Arial"/>
          <w:sz w:val="18"/>
          <w:u w:val="single"/>
        </w:rPr>
        <w:t>Section 2</w:t>
      </w:r>
      <w:r>
        <w:rPr>
          <w:rFonts w:cs="Arial" w:ascii="Arial" w:hAnsi="Arial"/>
          <w:sz w:val="18"/>
        </w:rPr>
        <w:t xml:space="preserve">, and with respect to Tier 3 Firm Gas, such Party (without affecting its liability under </w:t>
      </w:r>
      <w:r>
        <w:rPr>
          <w:rFonts w:cs="Arial" w:ascii="Arial" w:hAnsi="Arial"/>
          <w:sz w:val="18"/>
          <w:u w:val="single"/>
        </w:rPr>
        <w:t>Section 2</w:t>
      </w:r>
      <w:r>
        <w:rPr>
          <w:rFonts w:cs="Arial" w:ascii="Arial" w:hAnsi="Arial"/>
          <w:sz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cs="Arial" w:ascii="Arial" w:hAnsi="Arial"/>
          <w:sz w:val="18"/>
          <w:u w:val="single"/>
        </w:rPr>
        <w:t>Force Majeure</w:t>
      </w:r>
      <w:r>
        <w:rPr>
          <w:rFonts w:cs="Arial" w:ascii="Arial" w:hAnsi="Arial"/>
          <w:sz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cs="Arial" w:ascii="Arial" w:hAnsi="Arial"/>
          <w:sz w:val="18"/>
          <w:u w:val="single"/>
        </w:rPr>
        <w:t>OFO</w:t>
      </w:r>
      <w:r>
        <w:rPr>
          <w:rFonts w:cs="Arial" w:ascii="Arial" w:hAnsi="Arial"/>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tabs>
          <w:tab w:val="clear" w:pos="720"/>
          <w:tab w:val="left" w:pos="4050" w:leader="none"/>
          <w:tab w:val="left" w:pos="5400" w:leader="none"/>
          <w:tab w:val="left" w:pos="7290" w:leader="none"/>
          <w:tab w:val="left" w:pos="9360" w:leader="none"/>
        </w:tabs>
        <w:jc w:val="both"/>
        <w:rPr/>
      </w:pPr>
      <w:r>
        <w:rPr>
          <w:rFonts w:cs="Arial" w:ascii="Arial" w:hAnsi="Arial"/>
          <w:b/>
          <w:caps/>
          <w:sz w:val="18"/>
          <w:u w:val="single"/>
        </w:rPr>
        <w:t>8. Damages</w:t>
      </w:r>
      <w:r>
        <w:rPr>
          <w:rFonts w:cs="Arial" w:ascii="Arial" w:hAnsi="Arial"/>
          <w:caps/>
          <w:sz w:val="18"/>
        </w:rPr>
        <w:t xml:space="preserve">.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            </w:t>
      </w:r>
    </w:p>
    <w:p>
      <w:pPr>
        <w:pStyle w:val="Normal"/>
        <w:jc w:val="both"/>
        <w:rPr/>
      </w:pPr>
      <w:r>
        <w:rPr>
          <w:rFonts w:cs="Arial" w:ascii="Arial" w:hAnsi="Arial"/>
          <w:b/>
          <w:sz w:val="18"/>
          <w:u w:val="single"/>
        </w:rPr>
        <w:t>9.  Arbitration</w:t>
      </w:r>
      <w:r>
        <w:rPr>
          <w:rFonts w:cs="Arial" w:ascii="Arial" w:hAnsi="Arial"/>
          <w:sz w:val="18"/>
        </w:rPr>
        <w:t>.  Any dispute relating hereto shall be resolved by binding, self-administered arbitration pursuant to the Commercial Arbitration Rules of the American Arbitration Association ("</w:t>
      </w:r>
      <w:r>
        <w:rPr>
          <w:rFonts w:cs="Arial" w:ascii="Arial" w:hAnsi="Arial"/>
          <w:sz w:val="18"/>
          <w:u w:val="single"/>
        </w:rPr>
        <w:t>AAA</w:t>
      </w:r>
      <w:r>
        <w:rPr>
          <w:rFonts w:cs="Arial" w:ascii="Arial" w:hAnsi="Arial"/>
          <w:sz w:val="18"/>
        </w:rPr>
        <w:t>") and all such proceedings shall be subject to the Federal Arbitration Act.  A single arbitrator shall be selected under the expedited rules of the AAA.  Only damages allowed pursuant to the terms of this GTC  may be awarded and the arbitrator shall have no authority to award treble, exemplary or punitive damages of any type under any circumstances regardless of whether such damages may be available under Texas law.</w:t>
      </w:r>
    </w:p>
    <w:sectPr>
      <w:footerReference w:type="default" r:id="rId2"/>
      <w:type w:val="nextPage"/>
      <w:pgSz w:w="12240" w:h="15840"/>
      <w:pgMar w:left="720" w:right="720" w:gutter="0" w:header="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spotGTC.doc</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1999-11-15T19:38:00Z</dcterms:created>
  <dc:creator>Robert J. Bowen</dc:creator>
  <dc:description/>
  <dc:language>en-CA</dc:language>
  <cp:lastModifiedBy>robert j. bowen</cp:lastModifiedBy>
  <dcterms:modified xsi:type="dcterms:W3CDTF">2001-01-09T18:53:00Z</dcterms:modified>
  <cp:revision>3</cp:revision>
  <dc:subject/>
  <dc:title>ENFOLIO® "SPOT" GENERAL TERMS &amp; CONDITIONS  </dc:title>
</cp:coreProperties>
</file>