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April 10, 2000</w:t>
      </w:r>
    </w:p>
    <w:p>
      <w:pPr>
        <w:pStyle w:val="Normal"/>
        <w:rPr>
          <w:sz w:val="20"/>
        </w:rPr>
      </w:pPr>
      <w:r>
        <w:rPr>
          <w:sz w:val="20"/>
        </w:rPr>
      </w:r>
    </w:p>
    <w:p>
      <w:pPr>
        <w:pStyle w:val="Normal"/>
        <w:rPr>
          <w:sz w:val="20"/>
        </w:rPr>
      </w:pPr>
      <w:r>
        <w:rPr>
          <w:sz w:val="20"/>
        </w:rPr>
        <w:t>U.S. Gas Transportation, Inc.</w:t>
      </w:r>
    </w:p>
    <w:p>
      <w:pPr>
        <w:pStyle w:val="Normal"/>
        <w:rPr>
          <w:sz w:val="20"/>
        </w:rPr>
      </w:pPr>
      <w:r>
        <w:rPr>
          <w:sz w:val="20"/>
        </w:rPr>
        <w:t>2711 N Haskell Ste 2050</w:t>
      </w:r>
    </w:p>
    <w:p>
      <w:pPr>
        <w:pStyle w:val="Normal"/>
        <w:rPr>
          <w:sz w:val="20"/>
        </w:rPr>
      </w:pPr>
      <w:r>
        <w:rPr>
          <w:sz w:val="20"/>
        </w:rPr>
        <w:t>LB 20</w:t>
      </w:r>
    </w:p>
    <w:p>
      <w:pPr>
        <w:pStyle w:val="Normal"/>
        <w:rPr>
          <w:sz w:val="20"/>
        </w:rPr>
      </w:pPr>
      <w:r>
        <w:rPr>
          <w:sz w:val="20"/>
        </w:rPr>
        <w:t>Dallas,  TX  75225</w:t>
      </w:r>
    </w:p>
    <w:p>
      <w:pPr>
        <w:pStyle w:val="Normal"/>
        <w:rPr>
          <w:sz w:val="20"/>
        </w:rPr>
      </w:pPr>
      <w:r>
        <w:rPr>
          <w:sz w:val="20"/>
        </w:rPr>
      </w:r>
    </w:p>
    <w:p>
      <w:pPr>
        <w:pStyle w:val="Normal"/>
        <w:numPr>
          <w:ilvl w:val="0"/>
          <w:numId w:val="0"/>
        </w:numPr>
        <w:outlineLvl w:val="0"/>
        <w:rPr>
          <w:sz w:val="20"/>
        </w:rPr>
      </w:pPr>
      <w:r>
        <w:rPr>
          <w:sz w:val="20"/>
        </w:rPr>
        <w:t>Attn:  Documentation Department</w:t>
      </w:r>
    </w:p>
    <w:p>
      <w:pPr>
        <w:pStyle w:val="Normal"/>
        <w:rPr>
          <w:sz w:val="20"/>
        </w:rPr>
      </w:pPr>
      <w:r>
        <w:rPr>
          <w:sz w:val="20"/>
        </w:rPr>
        <w:t>Fax No.:  2148272718</w:t>
      </w:r>
    </w:p>
    <w:p>
      <w:pPr>
        <w:pStyle w:val="Normal"/>
        <w:rPr>
          <w:sz w:val="20"/>
        </w:rPr>
      </w:pPr>
      <w:r>
        <w:rPr>
          <w:sz w:val="20"/>
        </w:rPr>
        <w:t xml:space="preserve">Deal No.:  240324 </w:t>
      </w:r>
    </w:p>
    <w:p>
      <w:pPr>
        <w:pStyle w:val="Normal"/>
        <w:rPr>
          <w:b/>
          <w:sz w:val="20"/>
        </w:rPr>
      </w:pPr>
      <w:r>
        <w:rPr>
          <w:b/>
          <w:sz w:val="20"/>
        </w:rPr>
      </w:r>
    </w:p>
    <w:p>
      <w:pPr>
        <w:pStyle w:val="Normal"/>
        <w:numPr>
          <w:ilvl w:val="0"/>
          <w:numId w:val="0"/>
        </w:numPr>
        <w:jc w:val="center"/>
        <w:outlineLvl w:val="0"/>
        <w:rPr/>
      </w:pPr>
      <w:r>
        <w:rPr>
          <w:b/>
          <w:sz w:val="20"/>
        </w:rPr>
        <w:t>ENFOLIO</w:t>
      </w:r>
      <w:r>
        <w:rPr>
          <w:rFonts w:eastAsia="Symbol" w:cs="Symbol" w:ascii="Symbol" w:hAnsi="Symbol"/>
          <w:b/>
          <w:position w:val="6"/>
          <w:sz w:val="20"/>
        </w:rPr>
        <w:sym w:font="Symbol" w:char="f0e2"/>
      </w:r>
      <w:r>
        <w:rPr>
          <w:b/>
          <w:position w:val="6"/>
          <w:sz w:val="20"/>
        </w:rPr>
        <w:t xml:space="preserve"> </w:t>
      </w:r>
      <w:r>
        <w:rPr>
          <w:b/>
          <w:sz w:val="20"/>
        </w:rPr>
        <w:t>SPOT  CONFIRMATION--MASTER SPOT AGREEMENT GOVERNS</w:t>
      </w:r>
    </w:p>
    <w:p>
      <w:pPr>
        <w:pStyle w:val="Normal"/>
        <w:numPr>
          <w:ilvl w:val="0"/>
          <w:numId w:val="0"/>
        </w:numPr>
        <w:jc w:val="center"/>
        <w:outlineLvl w:val="0"/>
        <w:rPr>
          <w:b/>
          <w:sz w:val="20"/>
        </w:rPr>
      </w:pPr>
      <w:r>
        <w:rPr>
          <w:b/>
          <w:sz w:val="20"/>
        </w:rPr>
      </w:r>
    </w:p>
    <w:p>
      <w:pPr>
        <w:pStyle w:val="Normal"/>
        <w:numPr>
          <w:ilvl w:val="0"/>
          <w:numId w:val="0"/>
        </w:numPr>
        <w:jc w:val="center"/>
        <w:outlineLvl w:val="0"/>
        <w:rPr>
          <w:b/>
          <w:sz w:val="20"/>
        </w:rPr>
      </w:pPr>
      <w:r>
        <w:rPr>
          <w:b/>
          <w:sz w:val="20"/>
        </w:rPr>
        <w:t>This Transaction was entered into between the parties via Enron Online.</w:t>
      </w:r>
    </w:p>
    <w:p>
      <w:pPr>
        <w:pStyle w:val="Normal"/>
        <w:numPr>
          <w:ilvl w:val="0"/>
          <w:numId w:val="0"/>
        </w:numPr>
        <w:jc w:val="center"/>
        <w:outlineLvl w:val="0"/>
        <w:rPr>
          <w:b/>
          <w:sz w:val="20"/>
        </w:rPr>
      </w:pPr>
      <w:r>
        <w:rPr>
          <w:b/>
          <w:sz w:val="20"/>
        </w:rPr>
        <w:t>Enron Online Deal No: 147345</w:t>
      </w:r>
    </w:p>
    <w:p>
      <w:pPr>
        <w:pStyle w:val="Normal"/>
        <w:jc w:val="center"/>
        <w:rPr>
          <w:b/>
          <w:sz w:val="20"/>
        </w:rPr>
      </w:pPr>
      <w:r>
        <w:rPr>
          <w:b/>
          <w:sz w:val="20"/>
        </w:rPr>
      </w:r>
    </w:p>
    <w:p>
      <w:pPr>
        <w:pStyle w:val="Normal"/>
        <w:jc w:val="both"/>
        <w:rPr>
          <w:sz w:val="20"/>
        </w:rPr>
      </w:pPr>
      <w:r>
        <w:rPr>
          <w:sz w:val="20"/>
        </w:rPr>
        <w:t>This Spot Confirmation shall confirm the Transaction agreed to on the date hereof and binding between U.S. Gas Transportation, Inc. ("Customer") and  Enron North America Corp. ("ENA" and "Company") regarding the purchase and sale of Gas on the following terms.  Company to purchase and receive ("Buyer") and Customer to sell and deliver ("Seller").</w:t>
      </w:r>
    </w:p>
    <w:p>
      <w:pPr>
        <w:pStyle w:val="Normal"/>
        <w:rPr>
          <w:sz w:val="20"/>
        </w:rPr>
      </w:pPr>
      <w:r>
        <w:rPr>
          <w:sz w:val="20"/>
        </w:rPr>
      </w:r>
    </w:p>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3618"/>
        <w:gridCol w:w="5958"/>
      </w:tblGrid>
      <w:tr>
        <w:trPr/>
        <w:tc>
          <w:tcPr>
            <w:tcW w:w="3618" w:type="dxa"/>
            <w:tcBorders>
              <w:top w:val="single" w:sz="4" w:space="0" w:color="000000"/>
              <w:start w:val="single" w:sz="4" w:space="0" w:color="000000"/>
            </w:tcBorders>
          </w:tcPr>
          <w:p>
            <w:pPr>
              <w:pStyle w:val="Normal"/>
              <w:keepLines/>
              <w:rPr>
                <w:sz w:val="20"/>
              </w:rPr>
            </w:pPr>
            <w:r>
              <w:rPr>
                <w:b/>
                <w:sz w:val="20"/>
              </w:rPr>
              <w:t>PERIOD OF DELIVERY:</w:t>
            </w:r>
          </w:p>
        </w:tc>
        <w:tc>
          <w:tcPr>
            <w:tcW w:w="5958" w:type="dxa"/>
            <w:tcBorders>
              <w:top w:val="single" w:sz="4" w:space="0" w:color="000000"/>
              <w:end w:val="single" w:sz="4" w:space="0" w:color="000000"/>
            </w:tcBorders>
          </w:tcPr>
          <w:p>
            <w:pPr>
              <w:pStyle w:val="Normal"/>
              <w:keepLines/>
              <w:rPr>
                <w:sz w:val="20"/>
              </w:rPr>
            </w:pPr>
            <w:r>
              <w:rPr>
                <w:sz w:val="20"/>
              </w:rPr>
              <w:t>April 11, 2000 through April 11, 2000</w:t>
            </w:r>
          </w:p>
        </w:tc>
      </w:tr>
      <w:tr>
        <w:trPr/>
        <w:tc>
          <w:tcPr>
            <w:tcW w:w="3618" w:type="dxa"/>
            <w:tcBorders>
              <w:start w:val="single" w:sz="4" w:space="0" w:color="000000"/>
            </w:tcBorders>
          </w:tcPr>
          <w:p>
            <w:pPr>
              <w:pStyle w:val="Normal"/>
              <w:keepLines/>
              <w:rPr>
                <w:sz w:val="20"/>
              </w:rPr>
            </w:pPr>
            <w:r>
              <w:rPr>
                <w:b/>
                <w:sz w:val="20"/>
              </w:rPr>
              <w:t>TIER OF GAS:</w:t>
            </w:r>
          </w:p>
        </w:tc>
        <w:tc>
          <w:tcPr>
            <w:tcW w:w="5958" w:type="dxa"/>
            <w:tcBorders>
              <w:end w:val="single" w:sz="4" w:space="0" w:color="000000"/>
            </w:tcBorders>
          </w:tcPr>
          <w:p>
            <w:pPr>
              <w:pStyle w:val="Normal"/>
              <w:keepLines/>
              <w:numPr>
                <w:ilvl w:val="0"/>
                <w:numId w:val="0"/>
              </w:numPr>
              <w:outlineLvl w:val="0"/>
              <w:rPr>
                <w:sz w:val="20"/>
              </w:rPr>
            </w:pPr>
            <w:r>
              <w:rPr>
                <w:sz w:val="20"/>
              </w:rPr>
              <w:t>Tier 3 Firm Gas</w:t>
            </w:r>
          </w:p>
        </w:tc>
      </w:tr>
      <w:tr>
        <w:trPr/>
        <w:tc>
          <w:tcPr>
            <w:tcW w:w="3618" w:type="dxa"/>
            <w:tcBorders>
              <w:start w:val="single" w:sz="4" w:space="0" w:color="000000"/>
            </w:tcBorders>
          </w:tcPr>
          <w:p>
            <w:pPr>
              <w:pStyle w:val="Normal"/>
              <w:keepLines/>
              <w:rPr>
                <w:sz w:val="20"/>
              </w:rPr>
            </w:pPr>
            <w:r>
              <w:rPr>
                <w:b/>
                <w:sz w:val="20"/>
              </w:rPr>
              <w:t>DAILY CONTRACT QUANTITY:</w:t>
            </w:r>
          </w:p>
        </w:tc>
        <w:tc>
          <w:tcPr>
            <w:tcW w:w="5958" w:type="dxa"/>
            <w:tcBorders>
              <w:end w:val="single" w:sz="4" w:space="0" w:color="000000"/>
            </w:tcBorders>
          </w:tcPr>
          <w:p>
            <w:pPr>
              <w:pStyle w:val="Normal"/>
              <w:keepLines/>
              <w:rPr>
                <w:sz w:val="20"/>
              </w:rPr>
            </w:pPr>
            <w:r>
              <w:rPr>
                <w:sz w:val="20"/>
              </w:rPr>
              <w:t xml:space="preserve">5,000 MMBtu per day </w:t>
            </w:r>
          </w:p>
        </w:tc>
      </w:tr>
      <w:tr>
        <w:trPr/>
        <w:tc>
          <w:tcPr>
            <w:tcW w:w="3618" w:type="dxa"/>
            <w:tcBorders>
              <w:start w:val="single" w:sz="4" w:space="0" w:color="000000"/>
            </w:tcBorders>
          </w:tcPr>
          <w:p>
            <w:pPr>
              <w:pStyle w:val="Normal"/>
              <w:keepLines/>
              <w:rPr>
                <w:b/>
                <w:sz w:val="20"/>
              </w:rPr>
            </w:pPr>
            <w:r>
              <w:rPr>
                <w:b/>
                <w:sz w:val="20"/>
              </w:rPr>
              <w:t>DELIVERY POINT(S):</w:t>
            </w:r>
          </w:p>
        </w:tc>
        <w:tc>
          <w:tcPr>
            <w:tcW w:w="5958" w:type="dxa"/>
            <w:tcBorders>
              <w:end w:val="single" w:sz="4" w:space="0" w:color="000000"/>
            </w:tcBorders>
          </w:tcPr>
          <w:p>
            <w:pPr>
              <w:pStyle w:val="Normal"/>
              <w:keepLines/>
              <w:rPr>
                <w:b/>
                <w:sz w:val="20"/>
              </w:rPr>
            </w:pPr>
            <w:r>
              <w:rPr>
                <w:sz w:val="20"/>
              </w:rPr>
              <w:t>Pacific Gas and Electric Company - City Gate -- CITYGATE - NORMAL POOL</w:t>
            </w:r>
          </w:p>
        </w:tc>
      </w:tr>
      <w:tr>
        <w:trPr/>
        <w:tc>
          <w:tcPr>
            <w:tcW w:w="3618" w:type="dxa"/>
            <w:tcBorders>
              <w:start w:val="single" w:sz="4" w:space="0" w:color="000000"/>
              <w:bottom w:val="single" w:sz="4" w:space="0" w:color="000000"/>
            </w:tcBorders>
          </w:tcPr>
          <w:p>
            <w:pPr>
              <w:pStyle w:val="Normal"/>
              <w:keepLines/>
              <w:jc w:val="both"/>
              <w:rPr>
                <w:b/>
                <w:sz w:val="20"/>
              </w:rPr>
            </w:pPr>
            <w:r>
              <w:rPr>
                <w:b/>
                <w:sz w:val="20"/>
              </w:rPr>
              <w:t>CONTRACT PRICE:</w:t>
            </w:r>
          </w:p>
        </w:tc>
        <w:tc>
          <w:tcPr>
            <w:tcW w:w="5958" w:type="dxa"/>
            <w:tcBorders>
              <w:bottom w:val="single" w:sz="4" w:space="0" w:color="000000"/>
              <w:end w:val="single" w:sz="4" w:space="0" w:color="000000"/>
            </w:tcBorders>
          </w:tcPr>
          <w:p>
            <w:pPr>
              <w:pStyle w:val="Normal"/>
              <w:keepLines/>
              <w:ind w:hanging="1062" w:start="1062" w:end="0"/>
              <w:jc w:val="both"/>
              <w:rPr>
                <w:b/>
                <w:sz w:val="20"/>
              </w:rPr>
            </w:pPr>
            <w:r>
              <w:rPr>
                <w:sz w:val="20"/>
              </w:rPr>
              <w:t>USD $3.17000 per MMBtu</w:t>
            </w:r>
          </w:p>
        </w:tc>
      </w:tr>
      <w:tr>
        <w:trPr/>
        <w:tc>
          <w:tcPr>
            <w:tcW w:w="9576" w:type="dxa"/>
            <w:gridSpan w:val="2"/>
            <w:tcBorders/>
          </w:tcPr>
          <w:p>
            <w:pPr>
              <w:pStyle w:val="Normal"/>
              <w:snapToGrid w:val="false"/>
              <w:jc w:val="both"/>
              <w:rPr>
                <w:b/>
                <w:sz w:val="20"/>
              </w:rPr>
            </w:pPr>
            <w:r>
              <w:rPr>
                <w:b/>
                <w:sz w:val="20"/>
              </w:rPr>
            </w:r>
          </w:p>
        </w:tc>
      </w:tr>
    </w:tbl>
    <w:p>
      <w:pPr>
        <w:pStyle w:val="Normal"/>
        <w:jc w:val="both"/>
        <w:rPr>
          <w:sz w:val="22"/>
        </w:rPr>
      </w:pPr>
      <w:r>
        <w:rPr>
          <w:sz w:val="22"/>
        </w:rPr>
      </w:r>
    </w:p>
    <w:p>
      <w:pPr>
        <w:pStyle w:val="BodyText"/>
        <w:ind w:firstLine="720" w:end="0"/>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BodyText"/>
        <w:rPr/>
      </w:pPr>
      <w:r>
        <w:rPr/>
        <w:t xml:space="preserve"> </w:t>
      </w:r>
    </w:p>
    <w:p>
      <w:pPr>
        <w:pStyle w:val="Normal"/>
        <w:ind w:firstLine="720" w:end="0"/>
        <w:jc w:val="both"/>
        <w:rPr>
          <w:sz w:val="20"/>
        </w:rPr>
      </w:pPr>
      <w:r>
        <w:rPr>
          <w:sz w:val="20"/>
        </w:rPr>
        <w:t>This Spot Confirmation is being provided pursuant to and in accordance with the MASTER SPOT AGREEMENT between Customer and Company (the "Agreement") and constitutes part of and is subject to all of the provisions of such Agreement.  With respect to the above stated Deal Number, this Spot Confirmation supersedes all prior Confirmations of the Transaction issued hereunder, if any, effective as of the first day of the Period of Delivery herein.  Capitalized terms herein used, but not defined, shall have the meanings set forth in the Agreement. Company does hereby adopt its letterhead, including its address, as its signature in respect of the identification of Company and the authentication by Company of this Spot Confirmation.</w:t>
      </w:r>
    </w:p>
    <w:p>
      <w:pPr>
        <w:pStyle w:val="Normal"/>
        <w:jc w:val="both"/>
        <w:rPr>
          <w:sz w:val="20"/>
        </w:rPr>
      </w:pPr>
      <w:r>
        <w:rPr>
          <w:sz w:val="20"/>
        </w:rPr>
      </w:r>
    </w:p>
    <w:p>
      <w:pPr>
        <w:pStyle w:val="Normal"/>
        <w:numPr>
          <w:ilvl w:val="0"/>
          <w:numId w:val="0"/>
        </w:numPr>
        <w:outlineLvl w:val="0"/>
        <w:rPr>
          <w:sz w:val="16"/>
        </w:rPr>
      </w:pPr>
      <w:r>
        <w:rPr>
          <w:sz w:val="16"/>
        </w:rPr>
        <w:t>Confirmation Creation Date:  April 10, 2000</w:t>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240324</w:t>
    </w:r>
    <w:r>
      <w:rPr>
        <w:sz w:val="20"/>
      </w:rPr>
      <w:fldChar w:fldCharType="end"/>
    </w:r>
  </w:p>
  <w:p>
    <w:pPr>
      <w:pStyle w:val="Footer"/>
      <w:rPr/>
    </w:pPr>
    <w:r>
      <w:rPr>
        <w:sz w:val="20"/>
        <w:u w:val="single"/>
      </w:rPr>
      <w:t xml:space="preserve">Page </w:t>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sz w:val="20"/>
        <w:u w:val="single"/>
      </w:rPr>
      <w:t>0</w:t>
    </w:r>
    <w:r>
      <w:rPr>
        <w:rStyle w:val="PageNumber"/>
        <w:sz w:val="20"/>
        <w:u w:val="single"/>
      </w:rPr>
      <w:fldChar w:fldCharType="end"/>
    </w:r>
    <w:r>
      <w:rPr>
        <w:rStyle w:val="PageNumber"/>
        <w:sz w:val="20"/>
        <w:u w:val="single"/>
      </w:rPr>
      <w:tab/>
    </w:r>
  </w:p>
  <w:p>
    <w:pPr>
      <w:pStyle w:val="Header"/>
      <w:rPr>
        <w:rStyle w:val="PageNumber"/>
        <w:sz w:val="20"/>
        <w:u w:val="sing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2000-04-11T18:14:00Z</dcterms:created>
  <dc:creator>ECT</dc:creator>
  <dc:description/>
  <dc:language>en-CA</dc:language>
  <cp:lastModifiedBy>robert j. bowen</cp:lastModifiedBy>
  <dcterms:modified xsi:type="dcterms:W3CDTF">2000-04-11T18:16:00Z</dcterms:modified>
  <cp:revision>2</cp:revision>
  <dc:subject/>
  <dc:title>240324</dc:title>
</cp:coreProperties>
</file>