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«QtyPerPeriod»</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«FixedPayerWCP»</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«FloatPayerWCP»</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«AlternatePriceLit»</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«AlternatePrice»</w:t>
            </w:r>
            <w:r>
              <w:rPr>
                <w:sz w:val="22"/>
              </w:rPr>
              <w:fldChar w:fldCharType="end"/>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«CurrencyDesc»</w:t>
            </w:r>
            <w:r>
              <w:rPr>
                <w:sz w:val="22"/>
              </w:rPr>
              <w:fldChar w:fldCharType="end"/>
            </w:r>
          </w:p>
        </w:tc>
      </w:tr>
    </w:tbl>
    <w:p>
      <w:pPr>
        <w:pStyle w:val="Normal"/>
        <w:rPr>
          <w:b/>
          <w:sz w:val="22"/>
        </w:rPr>
      </w:pPr>
      <w:r>
        <w:rPr>
          <w:b/>
          <w:sz w:val="22"/>
        </w:rPr>
      </w:r>
    </w:p>
    <w:p>
      <w:pPr>
        <w:pStyle w:val="Normal"/>
        <w:jc w:val="both"/>
        <w:rPr>
          <w:sz w:val="22"/>
        </w:rPr>
      </w:pPr>
      <w:r>
        <w:rPr>
          <w:b/>
          <w:sz w:val="22"/>
        </w:rPr>
        <w:t>Governing Law:</w:t>
      </w:r>
      <w:r>
        <w:rPr>
          <w:sz w:val="22"/>
        </w:rPr>
        <w:tab/>
        <w:tab/>
        <w:tab/>
        <w:tab/>
      </w:r>
      <w:r>
        <w:rPr>
          <w:sz w:val="22"/>
        </w:rPr>
        <w:fldChar w:fldCharType="begin"/>
      </w:r>
      <w:r>
        <w:rPr>
          <w:sz w:val="22"/>
        </w:rPr>
        <w:instrText xml:space="preserve"> MERGEFIELD GoverningLaw </w:instrText>
      </w:r>
      <w:r>
        <w:rPr>
          <w:sz w:val="22"/>
        </w:rPr>
        <w:fldChar w:fldCharType="separate"/>
      </w:r>
      <w:r>
        <w:rPr>
          <w:sz w:val="22"/>
        </w:rPr>
        <w:t>«GoverningLaw»</w:t>
      </w:r>
      <w:r>
        <w:rPr>
          <w:sz w:val="22"/>
        </w:rPr>
        <w:fldChar w:fldCharType="end"/>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fldChar w:fldCharType="begin"/>
            </w:r>
            <w:r>
              <w:rPr>
                <w:sz w:val="22"/>
              </w:rPr>
              <w:instrText xml:space="preserve"> MERGEFIELD CreditProvision </w:instrText>
            </w:r>
            <w:r>
              <w:rPr>
                <w:sz w:val="22"/>
              </w:rPr>
              <w:fldChar w:fldCharType="separate"/>
            </w:r>
            <w:r>
              <w:rPr>
                <w:sz w:val="22"/>
              </w:rPr>
              <w:t>«CreditProvision»</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t>«CanadaSecurityLanguage»</w:t>
      </w:r>
      <w:r>
        <w:rPr>
          <w:sz w:val="22"/>
        </w:rPr>
        <w:fldChar w:fldCharType="end"/>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«EnronFax»</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«WireTransferAcct»</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«ABARouting»</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1999-10-14T18:12:00Z</dcterms:created>
  <dc:creator>ECT</dc:creator>
  <dc:description/>
  <dc:language>en-CA</dc:language>
  <cp:lastModifiedBy>jhunte2</cp:lastModifiedBy>
  <dcterms:modified xsi:type="dcterms:W3CDTF">2000-01-12T20:28:00Z</dcterms:modified>
  <cp:revision>3</cp:revision>
  <dc:subject/>
  <dc:title/>
</cp:coreProperties>
</file>