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sz w:val="20"/>
        </w:rPr>
      </w:pPr>
      <w:r>
        <w:rPr>
          <w:sz w:val="20"/>
        </w:rPr>
        <w:t>October 31, 2001</w:t>
      </w:r>
    </w:p>
    <w:p>
      <w:pPr>
        <w:pStyle w:val="Normal"/>
        <w:rPr>
          <w:sz w:val="20"/>
        </w:rPr>
      </w:pPr>
      <w:r>
        <w:rPr>
          <w:sz w:val="20"/>
        </w:rPr>
      </w:r>
    </w:p>
    <w:p>
      <w:pPr>
        <w:pStyle w:val="Normal"/>
        <w:rPr>
          <w:sz w:val="20"/>
        </w:rPr>
      </w:pPr>
      <w:r>
        <w:rPr>
          <w:sz w:val="20"/>
        </w:rPr>
        <w:t>Heartland Energy Group, Inc.</w:t>
      </w:r>
    </w:p>
    <w:p>
      <w:pPr>
        <w:pStyle w:val="Normal"/>
        <w:rPr>
          <w:sz w:val="20"/>
        </w:rPr>
      </w:pPr>
      <w:r>
        <w:rPr>
          <w:sz w:val="20"/>
        </w:rPr>
        <w:t>221 3rd Ave SE Ste 225</w:t>
      </w:r>
    </w:p>
    <w:p>
      <w:pPr>
        <w:pStyle w:val="Normal"/>
        <w:rPr>
          <w:sz w:val="20"/>
        </w:rPr>
      </w:pPr>
      <w:r>
        <w:rPr>
          <w:sz w:val="20"/>
        </w:rPr>
        <w:t>Cedar Rapids, IA 52401</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Documentation Department</w:t>
      </w:r>
    </w:p>
    <w:p>
      <w:pPr>
        <w:pStyle w:val="Normal"/>
        <w:rPr>
          <w:sz w:val="20"/>
        </w:rPr>
      </w:pPr>
      <w:r>
        <w:rPr>
          <w:sz w:val="20"/>
        </w:rPr>
        <w:t xml:space="preserve">Fax No.:  +1 (405) 8419055  </w:t>
      </w:r>
    </w:p>
    <w:p>
      <w:pPr>
        <w:pStyle w:val="Normal"/>
        <w:rPr>
          <w:sz w:val="20"/>
        </w:rPr>
      </w:pPr>
      <w:r>
        <w:rPr>
          <w:sz w:val="20"/>
        </w:rPr>
        <w:t>Deal No.:  1148026</w:t>
      </w:r>
    </w:p>
    <w:p>
      <w:pPr>
        <w:pStyle w:val="Normal"/>
        <w:rPr>
          <w:sz w:val="20"/>
        </w:rPr>
      </w:pPr>
      <w:r>
        <w:rPr>
          <w:sz w:val="20"/>
        </w:rPr>
      </w:r>
    </w:p>
    <w:p>
      <w:pPr>
        <w:pStyle w:val="Heading1"/>
        <w:ind w:hanging="0" w:start="0"/>
        <w:rPr/>
      </w:pPr>
      <w:r>
        <w:rPr/>
        <w:t>TRANSACTION AGREEMENT</w:t>
      </w:r>
    </w:p>
    <w:p>
      <w:pPr>
        <w:pStyle w:val="Normal"/>
        <w:jc w:val="center"/>
        <w:rPr>
          <w:b/>
          <w:sz w:val="20"/>
        </w:rPr>
      </w:pPr>
      <w:r>
        <w:rPr>
          <w:b/>
          <w:sz w:val="20"/>
        </w:rPr>
      </w:r>
    </w:p>
    <w:p>
      <w:pPr>
        <w:pStyle w:val="Normal"/>
        <w:jc w:val="center"/>
        <w:rPr>
          <w:b/>
          <w:sz w:val="20"/>
        </w:rPr>
      </w:pPr>
      <w:r>
        <w:rPr>
          <w:b/>
          <w:sz w:val="20"/>
        </w:rPr>
        <w:t xml:space="preserve"> </w:t>
      </w:r>
    </w:p>
    <w:p>
      <w:pPr>
        <w:pStyle w:val="Normal"/>
        <w:rPr>
          <w:b/>
          <w:sz w:val="20"/>
        </w:rPr>
      </w:pPr>
      <w:r>
        <w:rPr>
          <w:b/>
          <w:sz w:val="20"/>
        </w:rPr>
      </w:r>
    </w:p>
    <w:p>
      <w:pPr>
        <w:pStyle w:val="Normal"/>
        <w:jc w:val="both"/>
        <w:rPr>
          <w:sz w:val="20"/>
        </w:rPr>
      </w:pPr>
      <w:r>
        <w:rPr>
          <w:sz w:val="20"/>
        </w:rPr>
        <w:t>This Transaction Agreement shall form and effectuate the agreement between Heartland Energy Group, Inc. ("Customer") and Enron North America Corp. ("ENA" and "Company")  regarding the firm  purchase and sale of Gas under the following terms and conditions.  Company to purchase and receive (“Buyer”) and Customer to sell and deliver (“Seller”).</w:t>
      </w:r>
    </w:p>
    <w:p>
      <w:pPr>
        <w:pStyle w:val="Normal"/>
        <w:rPr>
          <w:sz w:val="20"/>
        </w:rPr>
      </w:pPr>
      <w:r>
        <w:rPr>
          <w:sz w:val="20"/>
        </w:rPr>
      </w:r>
    </w:p>
    <w:p>
      <w:pPr>
        <w:pStyle w:val="Normal"/>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op w:val="single" w:sz="4" w:space="0" w:color="000000"/>
              <w:start w:val="single" w:sz="4" w:space="0" w:color="000000"/>
            </w:tcBorders>
          </w:tcPr>
          <w:p>
            <w:pPr>
              <w:pStyle w:val="Normal"/>
              <w:keepLines/>
              <w:rPr>
                <w:b/>
                <w:sz w:val="20"/>
              </w:rPr>
            </w:pPr>
            <w:r>
              <w:rPr>
                <w:b/>
                <w:sz w:val="20"/>
              </w:rPr>
              <w:t>PERIOD OF DELIVERY:</w:t>
            </w:r>
          </w:p>
        </w:tc>
        <w:tc>
          <w:tcPr>
            <w:tcW w:w="5940" w:type="dxa"/>
            <w:tcBorders>
              <w:top w:val="single" w:sz="4" w:space="0" w:color="000000"/>
              <w:end w:val="single" w:sz="4" w:space="0" w:color="000000"/>
            </w:tcBorders>
          </w:tcPr>
          <w:p>
            <w:pPr>
              <w:pStyle w:val="Normal"/>
              <w:keepLines/>
              <w:ind w:firstLine="18" w:start="-18" w:end="0"/>
              <w:jc w:val="both"/>
              <w:rPr>
                <w:sz w:val="20"/>
              </w:rPr>
            </w:pPr>
            <w:r>
              <w:rPr>
                <w:sz w:val="20"/>
              </w:rPr>
              <w:t>November 1, 2001 through December 31, 2001</w:t>
            </w:r>
          </w:p>
        </w:tc>
      </w:tr>
      <w:tr>
        <w:trPr/>
        <w:tc>
          <w:tcPr>
            <w:tcW w:w="3618" w:type="dxa"/>
            <w:tcBorders>
              <w:start w:val="single" w:sz="4" w:space="0" w:color="000000"/>
            </w:tcBorders>
          </w:tcPr>
          <w:p>
            <w:pPr>
              <w:pStyle w:val="Normal"/>
              <w:keepLines/>
              <w:rPr>
                <w:b/>
                <w:sz w:val="20"/>
              </w:rPr>
            </w:pPr>
            <w:r>
              <w:rPr>
                <w:b/>
                <w:sz w:val="20"/>
              </w:rPr>
              <w:t>DELIVERY POINT:</w:t>
            </w:r>
          </w:p>
        </w:tc>
        <w:tc>
          <w:tcPr>
            <w:tcW w:w="5940" w:type="dxa"/>
            <w:tcBorders>
              <w:end w:val="single" w:sz="4" w:space="0" w:color="000000"/>
            </w:tcBorders>
          </w:tcPr>
          <w:p>
            <w:pPr>
              <w:pStyle w:val="Normal"/>
              <w:keepLines/>
              <w:ind w:firstLine="18" w:start="-18" w:end="0"/>
              <w:jc w:val="both"/>
              <w:rPr>
                <w:sz w:val="20"/>
              </w:rPr>
            </w:pPr>
            <w:r>
              <w:rPr>
                <w:sz w:val="20"/>
              </w:rPr>
              <w:t>Columbia Gas Transmission Corporation - ANR -- ANR/CGAS(LEBANON-COLUMBIA GAS</w:t>
            </w:r>
          </w:p>
        </w:tc>
      </w:tr>
      <w:tr>
        <w:trPr/>
        <w:tc>
          <w:tcPr>
            <w:tcW w:w="3618" w:type="dxa"/>
            <w:tcBorders>
              <w:start w:val="single" w:sz="4" w:space="0" w:color="000000"/>
            </w:tcBorders>
          </w:tcPr>
          <w:p>
            <w:pPr>
              <w:pStyle w:val="Normal"/>
              <w:keepLines/>
              <w:rPr>
                <w:b/>
                <w:sz w:val="20"/>
              </w:rPr>
            </w:pPr>
            <w:r>
              <w:rPr>
                <w:b/>
                <w:sz w:val="20"/>
              </w:rPr>
              <w:t>CONTRACT QUANTITY:</w:t>
            </w:r>
          </w:p>
        </w:tc>
        <w:tc>
          <w:tcPr>
            <w:tcW w:w="5940" w:type="dxa"/>
            <w:tcBorders>
              <w:end w:val="single" w:sz="4" w:space="0" w:color="000000"/>
            </w:tcBorders>
          </w:tcPr>
          <w:p>
            <w:pPr>
              <w:pStyle w:val="Normal"/>
              <w:keepLines/>
              <w:ind w:firstLine="18" w:start="-18" w:end="0"/>
              <w:jc w:val="both"/>
              <w:rPr>
                <w:sz w:val="20"/>
              </w:rPr>
            </w:pPr>
            <w:r>
              <w:rPr>
                <w:sz w:val="20"/>
              </w:rPr>
              <w:t>50,000 MMBtu per month</w:t>
            </w:r>
          </w:p>
        </w:tc>
      </w:tr>
      <w:tr>
        <w:trPr/>
        <w:tc>
          <w:tcPr>
            <w:tcW w:w="3618" w:type="dxa"/>
            <w:tcBorders>
              <w:start w:val="single" w:sz="4" w:space="0" w:color="000000"/>
            </w:tcBorders>
          </w:tcPr>
          <w:p>
            <w:pPr>
              <w:pStyle w:val="Normal"/>
              <w:keepLines/>
              <w:ind w:hanging="720" w:start="720" w:end="0"/>
              <w:rPr>
                <w:b/>
                <w:sz w:val="20"/>
              </w:rPr>
            </w:pPr>
            <w:r>
              <w:rPr>
                <w:b/>
                <w:sz w:val="20"/>
              </w:rPr>
              <w:t>CONTRACT PRICE:</w:t>
            </w:r>
          </w:p>
        </w:tc>
        <w:tc>
          <w:tcPr>
            <w:tcW w:w="5940" w:type="dxa"/>
            <w:tcBorders>
              <w:end w:val="single" w:sz="4" w:space="0" w:color="000000"/>
            </w:tcBorders>
          </w:tcPr>
          <w:p>
            <w:pPr>
              <w:pStyle w:val="Normal"/>
              <w:keepLines/>
              <w:ind w:firstLine="18" w:start="-18" w:end="0"/>
              <w:jc w:val="both"/>
              <w:rPr>
                <w:sz w:val="20"/>
              </w:rPr>
            </w:pPr>
            <w:r>
              <w:rPr>
                <w:sz w:val="20"/>
              </w:rPr>
              <w:t xml:space="preserve">The Contract Price for the applicable Period of Delivery (the “Relevant Period”) shall be 100% of the published index specified below plus USD $0.24000 per MMBtu:  </w:t>
            </w:r>
          </w:p>
          <w:p>
            <w:pPr>
              <w:pStyle w:val="Normal"/>
              <w:keepLines/>
              <w:ind w:firstLine="18" w:start="-18" w:end="0"/>
              <w:jc w:val="both"/>
              <w:rPr>
                <w:sz w:val="20"/>
              </w:rPr>
            </w:pPr>
            <w:r>
              <w:rPr>
                <w:sz w:val="20"/>
              </w:rPr>
            </w:r>
          </w:p>
          <w:p>
            <w:pPr>
              <w:pStyle w:val="Normal"/>
              <w:keepLines/>
              <w:ind w:firstLine="18" w:start="-18" w:end="0"/>
              <w:jc w:val="both"/>
              <w:rPr>
                <w:sz w:val="20"/>
              </w:rPr>
            </w:pPr>
            <w:r>
              <w:rPr>
                <w:sz w:val="20"/>
              </w:rPr>
              <w:t>Exchange:</w:t>
              <w:tab/>
              <w:t>New York Mercantile Exchange (NYMEX)</w:t>
            </w:r>
          </w:p>
          <w:p>
            <w:pPr>
              <w:pStyle w:val="Normal"/>
              <w:keepLines/>
              <w:ind w:firstLine="18" w:start="-18" w:end="0"/>
              <w:jc w:val="both"/>
              <w:rPr>
                <w:sz w:val="20"/>
              </w:rPr>
            </w:pPr>
            <w:r>
              <w:rPr>
                <w:sz w:val="20"/>
              </w:rPr>
              <w:t>Contract:</w:t>
              <w:tab/>
              <w:t>Natural Gas Futures -- Henry Hub</w:t>
            </w:r>
          </w:p>
          <w:p>
            <w:pPr>
              <w:pStyle w:val="Normal"/>
              <w:keepLines/>
              <w:ind w:firstLine="18" w:start="-18" w:end="0"/>
              <w:jc w:val="both"/>
              <w:rPr>
                <w:sz w:val="20"/>
              </w:rPr>
            </w:pPr>
            <w:r>
              <w:rPr>
                <w:sz w:val="20"/>
              </w:rPr>
              <w:t>Price:</w:t>
              <w:tab/>
              <w:t>The settlement price for the last trading day of each month during the Relevant Period</w:t>
            </w:r>
          </w:p>
        </w:tc>
      </w:tr>
      <w:tr>
        <w:trPr/>
        <w:tc>
          <w:tcPr>
            <w:tcW w:w="3618" w:type="dxa"/>
            <w:tcBorders>
              <w:start w:val="single" w:sz="4" w:space="0" w:color="000000"/>
              <w:bottom w:val="single" w:sz="4" w:space="0" w:color="000000"/>
            </w:tcBorders>
          </w:tcPr>
          <w:p>
            <w:pPr>
              <w:pStyle w:val="Normal"/>
              <w:keepLines/>
              <w:rPr>
                <w:b/>
                <w:sz w:val="20"/>
              </w:rPr>
            </w:pPr>
            <w:r>
              <w:rPr>
                <w:b/>
                <w:sz w:val="20"/>
              </w:rPr>
              <w:t>SPOT PRICE (MIDPOINT @           LOCATION):</w:t>
            </w:r>
          </w:p>
        </w:tc>
        <w:tc>
          <w:tcPr>
            <w:tcW w:w="5940" w:type="dxa"/>
            <w:tcBorders>
              <w:bottom w:val="single" w:sz="4" w:space="0" w:color="000000"/>
              <w:end w:val="single" w:sz="4" w:space="0" w:color="000000"/>
            </w:tcBorders>
          </w:tcPr>
          <w:p>
            <w:pPr>
              <w:pStyle w:val="Normal"/>
              <w:keepLines/>
              <w:snapToGrid w:val="false"/>
              <w:ind w:firstLine="18" w:start="-18" w:end="0"/>
              <w:jc w:val="both"/>
              <w:rPr>
                <w:b/>
                <w:sz w:val="20"/>
              </w:rPr>
            </w:pPr>
            <w:r>
              <w:rPr>
                <w:b/>
                <w:sz w:val="20"/>
              </w:rPr>
            </w:r>
          </w:p>
          <w:p>
            <w:pPr>
              <w:pStyle w:val="Normal"/>
              <w:keepLines/>
              <w:ind w:firstLine="18" w:start="-18" w:end="0"/>
              <w:jc w:val="both"/>
              <w:rPr>
                <w:sz w:val="20"/>
              </w:rPr>
            </w:pPr>
            <w:r>
              <w:rPr>
                <w:sz w:val="20"/>
              </w:rPr>
              <w:t>Appalachia – Columbia, App</w:t>
            </w:r>
          </w:p>
        </w:tc>
      </w:tr>
    </w:tbl>
    <w:p>
      <w:pPr>
        <w:pStyle w:val="Normal"/>
        <w:jc w:val="both"/>
        <w:rPr>
          <w:sz w:val="20"/>
        </w:rPr>
      </w:pPr>
      <w:r>
        <w:rPr>
          <w:sz w:val="20"/>
        </w:rPr>
      </w:r>
    </w:p>
    <w:p>
      <w:pPr>
        <w:pStyle w:val="Normal"/>
        <w:jc w:val="both"/>
        <w:rPr>
          <w:sz w:val="20"/>
        </w:rPr>
      </w:pPr>
      <w:r>
        <w:rPr>
          <w:sz w:val="20"/>
        </w:rPr>
        <w:t xml:space="preserve"> </w:t>
      </w:r>
    </w:p>
    <w:p>
      <w:pPr>
        <w:pStyle w:val="Normal"/>
        <w:ind w:firstLine="720" w:end="0"/>
        <w:jc w:val="both"/>
        <w:rPr>
          <w:sz w:val="20"/>
        </w:rPr>
      </w:pPr>
      <w:r>
        <w:rPr>
          <w:sz w:val="20"/>
        </w:rPr>
        <w:t xml:space="preserve">This Transaction Agreement is being provided pursuant to and in accordance with the ENFOLIO Master Firm Purchase/Sales Agreement dated May 1, 2000 between Customer and Company, and constitutes part of and is subject to all of the terms and provisions of such Agreement.  </w:t>
      </w:r>
    </w:p>
    <w:p>
      <w:pPr>
        <w:pStyle w:val="Normal"/>
        <w:ind w:firstLine="720" w:end="0"/>
        <w:jc w:val="both"/>
        <w:rPr>
          <w:sz w:val="20"/>
        </w:rPr>
      </w:pPr>
      <w:r>
        <w:rPr>
          <w:sz w:val="20"/>
        </w:rPr>
      </w:r>
    </w:p>
    <w:p>
      <w:pPr>
        <w:pStyle w:val="Normal"/>
        <w:jc w:val="both"/>
        <w:rPr>
          <w:sz w:val="16"/>
        </w:rPr>
      </w:pPr>
      <w:r>
        <w:rPr>
          <w:sz w:val="16"/>
        </w:rPr>
        <w:t>Confirmation Creation Date:  November 1, 2001</w:t>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1148026</w:t>
    </w:r>
    <w:r>
      <w:rPr>
        <w:sz w:val="20"/>
      </w:rPr>
      <w:fldChar w:fldCharType="end"/>
    </w:r>
  </w:p>
  <w:p>
    <w:pPr>
      <w:pStyle w:val="Head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Header"/>
      <w:rPr>
        <w:sz w:val="20"/>
      </w:rPr>
    </w:pP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2001-11-01T19:51:00Z</dcterms:created>
  <dc:creator>ECT</dc:creator>
  <dc:description/>
  <dc:language>en-CA</dc:language>
  <cp:lastModifiedBy>Richard J Deming</cp:lastModifiedBy>
  <dcterms:modified xsi:type="dcterms:W3CDTF">2001-11-01T19:53:00Z</dcterms:modified>
  <cp:revision>2</cp:revision>
  <dc:subject/>
  <dc:title>1148026</dc:title>
</cp:coreProperties>
</file>