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December 21, 2000</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Enron Global LNG LLC</w:t>
      </w:r>
      <w:r>
        <w:rPr/>
        <w:fldChar w:fldCharType="end"/>
      </w:r>
    </w:p>
    <w:p>
      <w:pPr>
        <w:pStyle w:val="Normal"/>
        <w:rPr/>
      </w:pPr>
      <w:r>
        <w:rPr/>
        <w:fldChar w:fldCharType="begin"/>
      </w:r>
      <w:r>
        <w:rPr/>
        <w:instrText xml:space="preserve"> MERGEFIELD CounterpartyAddr1 </w:instrText>
      </w:r>
      <w:r>
        <w:rPr/>
        <w:fldChar w:fldCharType="separate"/>
      </w:r>
      <w:r>
        <w:rPr/>
        <w:t>333 Clay St Ste 1800</w:t>
      </w:r>
      <w:r>
        <w:rPr/>
        <w:fldChar w:fldCharType="end"/>
      </w:r>
    </w:p>
    <w:p>
      <w:pPr>
        <w:pStyle w:val="Normal"/>
        <w:rPr/>
      </w:pPr>
      <w:r>
        <w:rPr/>
        <w:fldChar w:fldCharType="begin"/>
      </w:r>
      <w:r>
        <w:rPr/>
        <w:instrText xml:space="preserve"> MERGEFIELD CounterpartyAddr2 </w:instrText>
      </w:r>
      <w:r>
        <w:rPr/>
        <w:fldChar w:fldCharType="separate"/>
      </w:r>
      <w:r>
        <w:rPr/>
        <w:t>Houston, TX 77002</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(713) 646-6560</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QH6454.1</w:t>
      </w:r>
      <w:r>
        <w:rPr/>
        <w:fldChar w:fldCharType="end"/>
      </w:r>
      <w:r>
        <w:rPr/>
        <w:t xml:space="preserve"> / </w:t>
      </w:r>
      <w:r>
        <w:rPr/>
        <w:fldChar w:fldCharType="begin"/>
      </w:r>
      <w:r>
        <w:rPr/>
        <w:instrText xml:space="preserve"> MERGEFIELD SitaraDealNumber </w:instrText>
      </w:r>
      <w:r>
        <w:rPr/>
        <w:fldChar w:fldCharType="separate"/>
      </w:r>
      <w:r>
        <w:rPr/>
        <w:t>541040</w:t>
      </w:r>
      <w:r>
        <w:rPr/>
        <w:fldChar w:fldCharType="end"/>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December 20, 2000</w:t>
      </w:r>
      <w:r>
        <w:rPr/>
        <w:fldChar w:fldCharType="end"/>
      </w:r>
      <w:r>
        <w:rPr/>
        <w:t xml:space="preserve"> and binding between </w:t>
      </w:r>
      <w:r>
        <w:rPr/>
        <w:fldChar w:fldCharType="begin"/>
      </w:r>
      <w:r>
        <w:rPr/>
        <w:instrText xml:space="preserve"> MERGEFIELD CounterpartyName </w:instrText>
      </w:r>
      <w:r>
        <w:rPr/>
        <w:fldChar w:fldCharType="separate"/>
      </w:r>
      <w:r>
        <w:rPr/>
        <w:t>Enron Global LNG LLC</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QUANTITY:</w:t>
            </w:r>
          </w:p>
        </w:tc>
        <w:tc>
          <w:tcPr>
            <w:tcW w:w="6318" w:type="dxa"/>
            <w:tcBorders/>
          </w:tcPr>
          <w:p>
            <w:pPr>
              <w:pStyle w:val="Normal"/>
              <w:jc w:val="both"/>
              <w:rPr>
                <w:b/>
              </w:rPr>
            </w:pPr>
            <w:r>
              <w:rPr/>
              <w:fldChar w:fldCharType="begin"/>
            </w:r>
            <w:r>
              <w:rPr/>
              <w:instrText xml:space="preserve"> MERGEFIELD QtyPerPeriod </w:instrText>
            </w:r>
            <w:r>
              <w:rPr/>
              <w:fldChar w:fldCharType="separate"/>
            </w:r>
            <w:r>
              <w:rPr/>
              <w:t>44,000 MMBtu per day</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b/>
              </w:rPr>
            </w:pPr>
            <w:r>
              <w:rPr/>
              <w:fldChar w:fldCharType="begin"/>
            </w:r>
            <w:r>
              <w:rPr/>
              <w:instrText xml:space="preserve"> MERGEFIELD DeliveryPtName </w:instrText>
            </w:r>
            <w:r>
              <w:rPr/>
              <w:fldChar w:fldCharType="separate"/>
            </w:r>
            <w:r>
              <w:rPr/>
              <w:t>Trunkline Gas Company -  West L</w:t>
            </w:r>
            <w:r>
              <w:rPr/>
              <w:fldChar w:fldCharType="end"/>
            </w:r>
            <w:r>
              <w:rPr/>
              <w:t>A</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
              </w:rPr>
            </w:pPr>
            <w:r>
              <w:rPr/>
              <w:fldChar w:fldCharType="begin"/>
            </w:r>
            <w:r>
              <w:rPr/>
              <w:instrText xml:space="preserve"> MERGEFIELD DeliveryPeriod </w:instrText>
            </w:r>
            <w:r>
              <w:rPr/>
              <w:fldChar w:fldCharType="separate"/>
            </w:r>
            <w:r>
              <w:rPr/>
              <w:t>June 01, 2001 through September 30, 2001</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US Dollars $5.11750 per MMBtu</w:t>
            </w:r>
            <w:r>
              <w:rPr/>
              <w:fldChar w:fldCharType="end"/>
            </w:r>
          </w:p>
        </w:tc>
      </w:tr>
    </w:tbl>
    <w:p>
      <w:pPr>
        <w:pStyle w:val="Normal"/>
        <w:rPr>
          <w:b/>
        </w:rPr>
      </w:pPr>
      <w:r>
        <w:rPr>
          <w:b/>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t xml:space="preserve">By:        </w:t>
      </w:r>
      <w:r>
        <w:rPr/>
        <w:drawing>
          <wp:inline distT="0" distB="0" distL="0" distR="0">
            <wp:extent cx="1285875" cy="428625"/>
            <wp:effectExtent l="0" t="0" r="0" b="0"/>
            <wp:docPr id="2" name="si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 descr="" title=""/>
                    <pic:cNvPicPr>
                      <a:picLocks noChangeAspect="1" noChangeArrowheads="1"/>
                    </pic:cNvPicPr>
                  </pic:nvPicPr>
                  <pic:blipFill>
                    <a:blip r:embed="rId3"/>
                    <a:srcRect l="-28" t="-84" r="-28" b="-84"/>
                    <a:stretch>
                      <a:fillRect/>
                    </a:stretch>
                  </pic:blipFill>
                  <pic:spPr bwMode="auto">
                    <a:xfrm>
                      <a:off x="0" y="0"/>
                      <a:ext cx="1285875" cy="428625"/>
                    </a:xfrm>
                    <a:prstGeom prst="rect">
                      <a:avLst/>
                    </a:prstGeom>
                    <a:noFill/>
                  </pic:spPr>
                </pic:pic>
              </a:graphicData>
            </a:graphic>
          </wp:inline>
        </w:drawing>
      </w:r>
    </w:p>
    <w:p>
      <w:pPr>
        <w:pStyle w:val="Normal"/>
        <w:jc w:val="both"/>
        <w:rPr/>
      </w:pPr>
      <w:r>
        <w:rPr/>
      </w:r>
    </w:p>
    <w:p>
      <w:pPr>
        <w:pStyle w:val="Normal"/>
        <w:numPr>
          <w:ilvl w:val="0"/>
          <w:numId w:val="0"/>
        </w:numPr>
        <w:jc w:val="both"/>
        <w:outlineLvl w:val="0"/>
        <w:rPr/>
      </w:pPr>
      <w:r>
        <w:rPr/>
        <w:t>Name:  Robert Bowen</w:t>
      </w:r>
    </w:p>
    <w:p>
      <w:pPr>
        <w:pStyle w:val="Normal"/>
        <w:jc w:val="both"/>
        <w:rPr/>
      </w:pPr>
      <w:r>
        <w:rPr/>
      </w:r>
    </w:p>
    <w:p>
      <w:pPr>
        <w:pStyle w:val="Normal"/>
        <w:jc w:val="both"/>
        <w:rPr/>
      </w:pPr>
      <w:r>
        <w:rPr/>
        <w:t>Title:    Agent and Attorney-in-Fact</w:t>
      </w:r>
    </w:p>
    <w:p>
      <w:pPr>
        <w:pStyle w:val="Normal"/>
        <w:jc w:val="both"/>
        <w:rPr/>
      </w:pPr>
      <w:r>
        <w:rPr/>
      </w:r>
    </w:p>
    <w:sectPr>
      <w:headerReference w:type="default" r:id="rId4"/>
      <w:headerReference w:type="first" r:id="rId5"/>
      <w:type w:val="continuous"/>
      <w:pgSz w:w="12240" w:h="15840"/>
      <w:pgMar w:left="1440" w:right="1440" w:gutter="0" w:header="720" w:top="1440"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Enron Global LNG LLC</w:t>
    </w:r>
    <w:r>
      <w:rPr/>
      <w:fldChar w:fldCharType="end"/>
    </w:r>
  </w:p>
  <w:p>
    <w:pPr>
      <w:pStyle w:val="Header"/>
      <w:rPr/>
    </w:pPr>
    <w:r>
      <w:rPr/>
      <w:t xml:space="preserve">Trans.#: </w:t>
    </w:r>
    <w:r>
      <w:rPr/>
      <w:fldChar w:fldCharType="begin"/>
    </w:r>
    <w:r>
      <w:rPr/>
      <w:instrText xml:space="preserve"> TITLE </w:instrText>
    </w:r>
    <w:r>
      <w:rPr/>
      <w:fldChar w:fldCharType="separate"/>
    </w:r>
    <w:r>
      <w:rPr/>
      <w:t>QH6454.1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2000-12-22T12:00:00Z</dcterms:created>
  <dc:creator>ECT</dc:creator>
  <dc:description/>
  <dc:language>en-CA</dc:language>
  <cp:lastModifiedBy>robert j. bowen</cp:lastModifiedBy>
  <dcterms:modified xsi:type="dcterms:W3CDTF">2000-12-22T12:01:00Z</dcterms:modified>
  <cp:revision>2</cp:revision>
  <dc:subject>Enron Global LNG LLC</dc:subject>
  <dc:title>QH6454.1</dc:title>
</cp:coreProperties>
</file>