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Header"/>
        <w:rPr/>
      </w:pPr>
      <w:r>
        <w:rPr/>
      </w:r>
    </w:p>
    <w:p>
      <w:pPr>
        <w:pStyle w:val="Normal"/>
        <w:jc w:val="center"/>
        <w:rPr/>
      </w:pPr>
      <w:r>
        <w:fldChar w:fldCharType="begin"/>
      </w:r>
      <w:r>
        <w:rPr/>
        <w:instrText xml:space="preserve"> </w:instrText>
      </w:r>
      <w:r>
        <w:rPr/>
      </w:r>
      <w:r>
        <w:rPr/>
        <w:fldChar w:fldCharType="separate"/>
      </w:r>
      <w:r>
        <w:rPr/>
      </w:r>
      <w:r>
        <w:rPr/>
      </w:r>
      <w:r>
        <w:rPr/>
        <w:fldChar w:fldCharType="end"/>
      </w:r>
      <w:r>
        <w:rPr/>
        <w:fldChar w:fldCharType="begin"/>
      </w:r>
      <w:r>
        <w:rPr/>
        <w:instrText xml:space="preserve"> MERGEFIELD DateToday </w:instrText>
      </w:r>
      <w:r>
        <w:rPr/>
        <w:fldChar w:fldCharType="separate"/>
      </w:r>
      <w:r>
        <w:rPr/>
        <w:t>April 18, 2001</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The Procter &amp; Gamble Company</w:t>
      </w:r>
      <w:r>
        <w:rPr/>
        <w:fldChar w:fldCharType="end"/>
      </w:r>
    </w:p>
    <w:p>
      <w:pPr>
        <w:pStyle w:val="Normal"/>
        <w:rPr/>
      </w:pPr>
      <w:r>
        <w:rPr/>
      </w:r>
    </w:p>
    <w:p>
      <w:pPr>
        <w:pStyle w:val="Normal"/>
        <w:numPr>
          <w:ilvl w:val="0"/>
          <w:numId w:val="0"/>
        </w:numPr>
        <w:outlineLvl w:val="0"/>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 xml:space="preserve">Fax No.: </w:t>
      </w:r>
    </w:p>
    <w:p>
      <w:pPr>
        <w:pStyle w:val="Normal"/>
        <w:rPr/>
      </w:pPr>
      <w:r>
        <w:rPr/>
        <w:t xml:space="preserve">Trans. No.:  </w:t>
      </w:r>
      <w:r>
        <w:rPr/>
        <w:fldChar w:fldCharType="begin"/>
      </w:r>
      <w:r>
        <w:rPr/>
        <w:instrText xml:space="preserve"> MERGEFIELD DealNumber </w:instrText>
      </w:r>
      <w:r>
        <w:rPr/>
        <w:fldChar w:fldCharType="separate"/>
      </w:r>
      <w:r>
        <w:rPr/>
        <w:t>V34591.1</w:t>
      </w:r>
      <w:r>
        <w:rPr/>
        <w:fldChar w:fldCharType="end"/>
      </w:r>
      <w:r>
        <w:rPr/>
        <w:t xml:space="preserve"> / </w:t>
      </w:r>
      <w:r>
        <w:rPr/>
        <w:fldChar w:fldCharType="begin"/>
      </w:r>
      <w:r>
        <w:rPr/>
        <w:instrText xml:space="preserve"> MERGEFIELD SitaraDealNumber </w:instrText>
      </w:r>
      <w:r>
        <w:rPr/>
        <w:fldChar w:fldCharType="separate"/>
      </w:r>
      <w:r>
        <w:rPr/>
        <w:t>730276</w:t>
      </w:r>
      <w:r>
        <w:rPr/>
        <w:fldChar w:fldCharType="end"/>
      </w:r>
    </w:p>
    <w:p>
      <w:pPr>
        <w:pStyle w:val="Normal"/>
        <w:rPr/>
      </w:pPr>
      <w:r>
        <w:rPr/>
      </w:r>
    </w:p>
    <w:p>
      <w:pPr>
        <w:pStyle w:val="Normal"/>
        <w:jc w:val="center"/>
        <w:rPr/>
      </w:pPr>
      <w:r>
        <w:rPr>
          <w:b/>
        </w:rPr>
        <w:t>ENFOLIO</w:t>
      </w:r>
      <w:r>
        <w:rPr>
          <w:rFonts w:ascii="Symbol" w:hAnsi="Symbol"/>
          <w:b/>
          <w:position w:val="6"/>
        </w:rPr>
        <w:sym w:font="Symbol" w:char="e2"/>
      </w:r>
      <w:r>
        <w:rPr>
          <w:b/>
          <w:position w:val="6"/>
        </w:rPr>
        <w:t xml:space="preserve"> </w:t>
      </w:r>
      <w:r>
        <w:rPr>
          <w:b/>
        </w:rPr>
        <w:t>FIRM  CONFIRMATION--ENFOLIO</w:t>
      </w:r>
      <w:r>
        <w:rPr>
          <w:rFonts w:ascii="Symbol" w:hAnsi="Symbol"/>
          <w:b/>
          <w:position w:val="6"/>
        </w:rPr>
        <w:sym w:font="Symbol" w:char="e2"/>
      </w:r>
      <w:r>
        <w:rPr>
          <w:b/>
          <w:position w:val="6"/>
        </w:rPr>
        <w:t xml:space="preserve"> </w:t>
      </w:r>
      <w:r>
        <w:rPr>
          <w:b/>
        </w:rPr>
        <w:t>FIRM GENERAL TERMS &amp; CONDITIONS GOVERN</w:t>
      </w:r>
    </w:p>
    <w:p>
      <w:pPr>
        <w:pStyle w:val="Normal"/>
        <w:jc w:val="center"/>
        <w:rPr>
          <w:b/>
        </w:rPr>
      </w:pPr>
      <w:r>
        <w:rPr>
          <w:b/>
        </w:rPr>
      </w:r>
    </w:p>
    <w:p>
      <w:pPr>
        <w:pStyle w:val="Normal"/>
        <w:jc w:val="both"/>
        <w:rPr/>
      </w:pPr>
      <w:r>
        <w:rPr/>
        <w:t xml:space="preserve">This Confirmation shall confirm the transaction agreed to on </w:t>
      </w:r>
      <w:r>
        <w:rPr/>
        <w:fldChar w:fldCharType="begin"/>
      </w:r>
      <w:r>
        <w:rPr/>
        <w:instrText xml:space="preserve"> MERGEFIELD DealDate </w:instrText>
      </w:r>
      <w:r>
        <w:rPr/>
        <w:fldChar w:fldCharType="separate"/>
      </w:r>
      <w:r>
        <w:rPr/>
        <w:t>April 12, 2001</w:t>
      </w:r>
      <w:r>
        <w:rPr/>
        <w:fldChar w:fldCharType="end"/>
      </w:r>
      <w:r>
        <w:rPr/>
        <w:t xml:space="preserve"> and binding between </w:t>
      </w:r>
      <w:r>
        <w:rPr/>
        <w:fldChar w:fldCharType="begin"/>
      </w:r>
      <w:r>
        <w:rPr/>
        <w:instrText xml:space="preserve"> MERGEFIELD CounterpartyName </w:instrText>
      </w:r>
      <w:r>
        <w:rPr/>
        <w:fldChar w:fldCharType="separate"/>
      </w:r>
      <w:r>
        <w:rPr/>
        <w:t>The Procter &amp; Gamble Company</w:t>
      </w:r>
      <w:r>
        <w:rPr/>
        <w:fldChar w:fldCharType="end"/>
      </w:r>
      <w:r>
        <w:rPr/>
        <w:t xml:space="preserve">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purchase and sale of gas on the following terms. </w:t>
      </w:r>
      <w:r>
        <w:rPr/>
        <w:fldChar w:fldCharType="begin"/>
      </w:r>
      <w:r>
        <w:rPr/>
        <w:instrText xml:space="preserve"> MERGEFIELD Buyer </w:instrText>
      </w:r>
      <w:r>
        <w:rPr/>
        <w:fldChar w:fldCharType="separate"/>
      </w:r>
      <w:r>
        <w:rPr/>
        <w:t>Customer</w:t>
      </w:r>
      <w:r>
        <w:rPr/>
        <w:fldChar w:fldCharType="end"/>
      </w:r>
      <w:r>
        <w:rPr/>
        <w:t xml:space="preserve"> to purchase and receive ("Buyer") and </w:t>
      </w:r>
      <w:r>
        <w:rPr/>
        <w:fldChar w:fldCharType="begin"/>
      </w:r>
      <w:r>
        <w:rPr/>
        <w:instrText xml:space="preserve"> MERGEFIELD Seller </w:instrText>
      </w:r>
      <w:r>
        <w:rPr/>
        <w:fldChar w:fldCharType="separate"/>
      </w:r>
      <w:r>
        <w:rPr/>
        <w:t>Company</w:t>
      </w:r>
      <w:r>
        <w:rPr/>
        <w:fldChar w:fldCharType="end"/>
      </w:r>
      <w:r>
        <w:rPr/>
        <w:t xml:space="preserve"> to sell and deliver ("Seller").</w:t>
      </w:r>
    </w:p>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3258"/>
        <w:gridCol w:w="6318"/>
      </w:tblGrid>
      <w:tr>
        <w:trPr/>
        <w:tc>
          <w:tcPr>
            <w:tcW w:w="3258" w:type="dxa"/>
            <w:tcBorders/>
          </w:tcPr>
          <w:p>
            <w:pPr>
              <w:pStyle w:val="Normal"/>
              <w:rPr>
                <w:b/>
              </w:rPr>
            </w:pPr>
            <w:r>
              <w:rPr>
                <w:b/>
              </w:rPr>
              <w:t>DESIGNATED QUANTITY:</w:t>
            </w:r>
          </w:p>
        </w:tc>
        <w:tc>
          <w:tcPr>
            <w:tcW w:w="6318" w:type="dxa"/>
            <w:tcBorders/>
          </w:tcPr>
          <w:p>
            <w:pPr>
              <w:pStyle w:val="Normal"/>
              <w:jc w:val="both"/>
              <w:rPr>
                <w:b/>
              </w:rPr>
            </w:pPr>
            <w:r>
              <w:rPr/>
              <w:fldChar w:fldCharType="begin"/>
            </w:r>
            <w:r>
              <w:rPr/>
              <w:instrText xml:space="preserve"> MERGEFIELD QtyPerPeriod </w:instrText>
            </w:r>
            <w:r>
              <w:rPr/>
              <w:fldChar w:fldCharType="separate"/>
            </w:r>
            <w:r>
              <w:rPr/>
              <w:t>See Attachment</w:t>
            </w:r>
            <w:r>
              <w:rPr/>
              <w:fldChar w:fldCharType="end"/>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DELIVERY POINT(S):</w:t>
            </w:r>
          </w:p>
        </w:tc>
        <w:tc>
          <w:tcPr>
            <w:tcW w:w="6318" w:type="dxa"/>
            <w:tcBorders/>
          </w:tcPr>
          <w:p>
            <w:pPr>
              <w:pStyle w:val="Normal"/>
              <w:jc w:val="both"/>
              <w:rPr>
                <w:b/>
              </w:rPr>
            </w:pPr>
            <w:r>
              <w:rPr/>
              <w:fldChar w:fldCharType="begin"/>
            </w:r>
            <w:r>
              <w:rPr/>
              <w:instrText xml:space="preserve"> MERGEFIELD DeliveryPtName </w:instrText>
            </w:r>
            <w:r>
              <w:rPr/>
              <w:fldChar w:fldCharType="separate"/>
            </w:r>
            <w:r>
              <w:rPr/>
              <w:t>Columbia Gas Transmission Citygate</w:t>
            </w:r>
            <w:r>
              <w:rPr/>
              <w:fldChar w:fldCharType="end"/>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PERIOD OF DELIVERY:</w:t>
            </w:r>
          </w:p>
        </w:tc>
        <w:tc>
          <w:tcPr>
            <w:tcW w:w="6318" w:type="dxa"/>
            <w:tcBorders/>
          </w:tcPr>
          <w:p>
            <w:pPr>
              <w:pStyle w:val="Normal"/>
              <w:jc w:val="both"/>
              <w:rPr>
                <w:b/>
              </w:rPr>
            </w:pPr>
            <w:r>
              <w:rPr/>
              <w:fldChar w:fldCharType="begin"/>
            </w:r>
            <w:r>
              <w:rPr/>
              <w:instrText xml:space="preserve"> MERGEFIELD DeliveryPeriod </w:instrText>
            </w:r>
            <w:r>
              <w:rPr/>
              <w:fldChar w:fldCharType="separate"/>
            </w:r>
            <w:r>
              <w:rPr/>
              <w:t>July 01, 2001 through June 30, 2002</w:t>
            </w:r>
            <w:r>
              <w:rPr/>
              <w:fldChar w:fldCharType="end"/>
            </w:r>
          </w:p>
        </w:tc>
      </w:tr>
      <w:tr>
        <w:trPr/>
        <w:tc>
          <w:tcPr>
            <w:tcW w:w="3258" w:type="dxa"/>
            <w:tcBorders/>
          </w:tcPr>
          <w:p>
            <w:pPr>
              <w:pStyle w:val="Normal"/>
              <w:snapToGrid w:val="false"/>
              <w:rPr>
                <w:b/>
              </w:rPr>
            </w:pPr>
            <w:r>
              <w:rPr>
                <w:b/>
              </w:rPr>
            </w:r>
          </w:p>
        </w:tc>
        <w:tc>
          <w:tcPr>
            <w:tcW w:w="6318" w:type="dxa"/>
            <w:tcBorders/>
          </w:tcPr>
          <w:p>
            <w:pPr>
              <w:pStyle w:val="Normal"/>
              <w:snapToGrid w:val="false"/>
              <w:rPr>
                <w:b/>
              </w:rPr>
            </w:pPr>
            <w:r>
              <w:rPr>
                <w:b/>
              </w:rPr>
            </w:r>
          </w:p>
        </w:tc>
      </w:tr>
      <w:tr>
        <w:trPr/>
        <w:tc>
          <w:tcPr>
            <w:tcW w:w="3258" w:type="dxa"/>
            <w:tcBorders/>
          </w:tcPr>
          <w:p>
            <w:pPr>
              <w:pStyle w:val="Normal"/>
              <w:rPr>
                <w:b/>
              </w:rPr>
            </w:pPr>
            <w:r>
              <w:rPr>
                <w:b/>
              </w:rPr>
              <w:t>CONTRACT PRICE (PER MMBTU):</w:t>
            </w:r>
          </w:p>
        </w:tc>
        <w:tc>
          <w:tcPr>
            <w:tcW w:w="6318" w:type="dxa"/>
            <w:tcBorders/>
          </w:tcPr>
          <w:p>
            <w:pPr>
              <w:pStyle w:val="Normal"/>
              <w:snapToGrid w:val="false"/>
              <w:jc w:val="both"/>
              <w:rPr>
                <w:b/>
              </w:rPr>
            </w:pPr>
            <w:r>
              <w:rPr>
                <w:b/>
              </w:rPr>
            </w:r>
          </w:p>
          <w:p>
            <w:pPr>
              <w:pStyle w:val="Normal"/>
              <w:jc w:val="both"/>
              <w:rPr>
                <w:b/>
              </w:rPr>
            </w:pPr>
            <w:r>
              <w:rPr/>
              <w:fldChar w:fldCharType="begin"/>
            </w:r>
            <w:r>
              <w:rPr/>
              <w:instrText xml:space="preserve"> MERGEFIELD FixedPrice </w:instrText>
            </w:r>
            <w:r>
              <w:rPr/>
              <w:fldChar w:fldCharType="separate"/>
            </w:r>
            <w:r>
              <w:rPr/>
              <w:t>The average of the settlement prices of the NYMEX Henry Hub gas futures contract for the last three (3) trading days of the applicable Delivery Month plus US Dollars $0.68000 per MMBtu</w:t>
            </w:r>
            <w:r>
              <w:rPr/>
              <w:fldChar w:fldCharType="end"/>
            </w:r>
          </w:p>
        </w:tc>
      </w:tr>
    </w:tbl>
    <w:p>
      <w:pPr>
        <w:pStyle w:val="Normal"/>
        <w:rPr>
          <w:b/>
        </w:rPr>
      </w:pPr>
      <w:r>
        <w:rPr>
          <w:b/>
        </w:rPr>
      </w:r>
    </w:p>
    <w:p>
      <w:pPr>
        <w:pStyle w:val="Normal"/>
        <w:numPr>
          <w:ilvl w:val="0"/>
          <w:numId w:val="0"/>
        </w:numPr>
        <w:outlineLvl w:val="0"/>
        <w:rPr>
          <w:b/>
        </w:rPr>
      </w:pPr>
      <w:r>
        <w:rPr>
          <w:b/>
        </w:rPr>
        <w:t>NOTICE AND COMMUNICATION TO COMPANY, AS FOLLOWS:</w:t>
      </w:r>
    </w:p>
    <w:p>
      <w:pPr>
        <w:pStyle w:val="Normal"/>
        <w:numPr>
          <w:ilvl w:val="0"/>
          <w:numId w:val="0"/>
        </w:numPr>
        <w:outlineLvl w:val="0"/>
        <w:rPr>
          <w:b/>
        </w:rPr>
      </w:pPr>
      <w:r>
        <w:rPr>
          <w:b/>
        </w:rPr>
        <w:t>NOTICES/CORRESPONDENCE:</w:t>
      </w:r>
    </w:p>
    <w:p>
      <w:pPr>
        <w:pStyle w:val="Normal"/>
        <w:numPr>
          <w:ilvl w:val="0"/>
          <w:numId w:val="0"/>
        </w:numPr>
        <w:outlineLvl w:val="0"/>
        <w:rPr/>
      </w:pPr>
      <w:r>
        <w:rPr/>
        <w:t>P.O. Box 4428</w:t>
      </w:r>
    </w:p>
    <w:p>
      <w:pPr>
        <w:pStyle w:val="Normal"/>
        <w:rPr/>
      </w:pPr>
      <w:r>
        <w:rPr/>
        <w:t>Houston, Texas 77210-4428</w:t>
      </w:r>
    </w:p>
    <w:p>
      <w:pPr>
        <w:pStyle w:val="Normal"/>
        <w:rPr/>
      </w:pPr>
      <w:r>
        <w:rPr/>
        <w:t>Attn: Documentation and Deal Clearing</w:t>
      </w:r>
    </w:p>
    <w:p>
      <w:pPr>
        <w:pStyle w:val="Normal"/>
        <w:rPr/>
      </w:pPr>
      <w:r>
        <w:rPr/>
        <w:t>Facsimile No. (713) 646-4816</w:t>
      </w:r>
    </w:p>
    <w:p>
      <w:pPr>
        <w:pStyle w:val="Normal"/>
        <w:rPr/>
      </w:pPr>
      <w:r>
        <w:rPr/>
        <w:t>Termination Notice Facsimile No. (713) 646-4816</w:t>
      </w:r>
    </w:p>
    <w:p>
      <w:pPr>
        <w:pStyle w:val="Normal"/>
        <w:numPr>
          <w:ilvl w:val="0"/>
          <w:numId w:val="0"/>
        </w:numPr>
        <w:outlineLvl w:val="0"/>
        <w:rPr>
          <w:b/>
        </w:rPr>
      </w:pPr>
      <w:r>
        <w:rPr>
          <w:b/>
        </w:rPr>
        <w:t>INVOICES:</w:t>
      </w:r>
    </w:p>
    <w:p>
      <w:pPr>
        <w:pStyle w:val="Normal"/>
        <w:numPr>
          <w:ilvl w:val="0"/>
          <w:numId w:val="0"/>
        </w:numPr>
        <w:outlineLvl w:val="0"/>
        <w:rPr/>
      </w:pPr>
      <w:r>
        <w:rPr/>
        <w:t>P.O. Box 4428</w:t>
      </w:r>
    </w:p>
    <w:p>
      <w:pPr>
        <w:pStyle w:val="Normal"/>
        <w:rPr/>
      </w:pPr>
      <w:r>
        <w:rPr/>
        <w:t>Houston, Texas 77210-4428</w:t>
      </w:r>
    </w:p>
    <w:p>
      <w:pPr>
        <w:pStyle w:val="Normal"/>
        <w:rPr/>
      </w:pPr>
      <w:r>
        <w:rPr/>
        <w:t>Attn: Client Services</w:t>
      </w:r>
    </w:p>
    <w:p>
      <w:pPr>
        <w:pStyle w:val="Normal"/>
        <w:rPr/>
      </w:pPr>
      <w:r>
        <w:rPr/>
        <w:t>Facsimile No. (713) 646-8420</w:t>
      </w:r>
    </w:p>
    <w:p>
      <w:pPr>
        <w:pStyle w:val="Normal"/>
        <w:numPr>
          <w:ilvl w:val="0"/>
          <w:numId w:val="0"/>
        </w:numPr>
        <w:outlineLvl w:val="0"/>
        <w:rPr>
          <w:b/>
        </w:rPr>
      </w:pPr>
      <w:r>
        <w:rPr>
          <w:b/>
        </w:rPr>
        <w:t>PAYMENTS:</w:t>
      </w:r>
    </w:p>
    <w:p>
      <w:pPr>
        <w:pStyle w:val="Normal"/>
        <w:rPr/>
      </w:pPr>
      <w:r>
        <w:rPr/>
        <w:fldChar w:fldCharType="begin"/>
      </w:r>
      <w:r>
        <w:rPr/>
        <w:instrText xml:space="preserve"> MERGEFIELD EnronEntityName </w:instrText>
      </w:r>
      <w:r>
        <w:rPr/>
        <w:fldChar w:fldCharType="separate"/>
      </w:r>
      <w:r>
        <w:rPr/>
        <w:t>Enron North America Corp.</w:t>
      </w:r>
      <w:r>
        <w:rPr/>
        <w:fldChar w:fldCharType="end"/>
      </w:r>
    </w:p>
    <w:p>
      <w:pPr>
        <w:pStyle w:val="Normal"/>
        <w:rPr/>
      </w:pPr>
      <w:r>
        <w:rPr/>
        <w:t>ABA Routing 111000012 / Bank of America / Account 3750494099</w:t>
      </w:r>
    </w:p>
    <w:p>
      <w:pPr>
        <w:pStyle w:val="Normal"/>
        <w:numPr>
          <w:ilvl w:val="0"/>
          <w:numId w:val="0"/>
        </w:numPr>
        <w:outlineLvl w:val="0"/>
        <w:rPr>
          <w:b/>
        </w:rPr>
      </w:pPr>
      <w:r>
        <w:rPr>
          <w:b/>
        </w:rPr>
        <w:t>NOMINATIONS TO COMPANY:</w:t>
      </w:r>
    </w:p>
    <w:p>
      <w:pPr>
        <w:pStyle w:val="Normal"/>
        <w:rPr/>
      </w:pPr>
      <w:r>
        <w:rPr/>
        <w:t>1(800)356-9427/1(800)FLOWGAS</w:t>
      </w:r>
    </w:p>
    <w:p>
      <w:pPr>
        <w:pStyle w:val="Normal"/>
        <w:numPr>
          <w:ilvl w:val="0"/>
          <w:numId w:val="0"/>
        </w:numPr>
        <w:outlineLvl w:val="0"/>
        <w:rPr>
          <w:b/>
        </w:rPr>
      </w:pPr>
      <w:r>
        <w:rPr>
          <w:b/>
        </w:rPr>
        <w:t>SCHEDULING CONFIRMATIONS TO COMPANY:</w:t>
      </w:r>
    </w:p>
    <w:p>
      <w:pPr>
        <w:pStyle w:val="Normal"/>
        <w:numPr>
          <w:ilvl w:val="0"/>
          <w:numId w:val="0"/>
        </w:numPr>
        <w:outlineLvl w:val="0"/>
        <w:rPr/>
      </w:pPr>
      <w:r>
        <w:rPr/>
        <w:t xml:space="preserve">Attn: </w:t>
      </w:r>
      <w:r>
        <w:rPr/>
        <w:fldChar w:fldCharType="begin"/>
      </w:r>
      <w:r>
        <w:rPr/>
        <w:instrText xml:space="preserve"> MERGEFIELD EnronEntityCode </w:instrText>
      </w:r>
      <w:r>
        <w:rPr/>
        <w:fldChar w:fldCharType="separate"/>
      </w:r>
      <w:r>
        <w:rPr/>
        <w:t>ENA</w:t>
      </w:r>
      <w:r>
        <w:rPr/>
        <w:fldChar w:fldCharType="end"/>
      </w:r>
      <w:r>
        <w:rPr/>
        <w:t xml:space="preserve"> Gas Trading</w:t>
      </w:r>
    </w:p>
    <w:p>
      <w:pPr>
        <w:pStyle w:val="Normal"/>
        <w:rPr/>
      </w:pPr>
      <w:r>
        <w:rPr/>
        <w:t>Facsimile No.: (713) 646-2531</w:t>
      </w:r>
    </w:p>
    <w:p>
      <w:pPr>
        <w:pStyle w:val="Normal"/>
        <w:jc w:val="both"/>
        <w:rPr/>
      </w:pPr>
      <w:r>
        <w:rPr/>
      </w:r>
    </w:p>
    <w:p>
      <w:pPr>
        <w:pStyle w:val="Normal"/>
        <w:jc w:val="both"/>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pPr>
      <w:r>
        <w:rPr/>
      </w:r>
    </w:p>
    <w:p>
      <w:pPr>
        <w:pStyle w:val="Normal"/>
        <w:jc w:val="both"/>
        <w:rPr/>
      </w:pPr>
      <w:r>
        <w:rPr/>
        <w:t>By:       «SignatureGoesHere»</w:t>
      </w:r>
    </w:p>
    <w:p>
      <w:pPr>
        <w:pStyle w:val="Normal"/>
        <w:jc w:val="both"/>
        <w:rPr/>
      </w:pPr>
      <w:r>
        <w:rPr/>
      </w:r>
    </w:p>
    <w:p>
      <w:pPr>
        <w:pStyle w:val="Normal"/>
        <w:numPr>
          <w:ilvl w:val="0"/>
          <w:numId w:val="0"/>
        </w:numPr>
        <w:jc w:val="both"/>
        <w:outlineLvl w:val="0"/>
        <w:rPr/>
      </w:pPr>
      <w:r>
        <w:rPr/>
        <w:t>Name:  «SignerName»</w:t>
      </w:r>
    </w:p>
    <w:p>
      <w:pPr>
        <w:pStyle w:val="Normal"/>
        <w:jc w:val="both"/>
        <w:rPr/>
      </w:pPr>
      <w:r>
        <w:rPr/>
      </w:r>
    </w:p>
    <w:p>
      <w:pPr>
        <w:pStyle w:val="Normal"/>
        <w:jc w:val="both"/>
        <w:rPr/>
      </w:pPr>
      <w:r>
        <w:rPr/>
        <w:t>Title:    «SignerTitle»</w:t>
      </w:r>
      <w:r>
        <w:br w:type="page"/>
      </w:r>
    </w:p>
    <w:p>
      <w:pPr>
        <w:pStyle w:val="Normal"/>
        <w:jc w:val="both"/>
        <w:rPr/>
      </w:pPr>
      <w:r>
        <w:rPr/>
        <w:tab/>
        <w:tab/>
        <w:tab/>
        <w:tab/>
        <w:tab/>
        <w:t xml:space="preserve">       Attachment</w:t>
      </w:r>
    </w:p>
    <w:p>
      <w:pPr>
        <w:pStyle w:val="Normal"/>
        <w:jc w:val="both"/>
        <w:rPr/>
      </w:pPr>
      <w:r>
        <w:rPr/>
        <w:tab/>
        <w:tab/>
        <w:tab/>
        <w:tab/>
        <w:tab/>
        <w:t>Contract No. V34591.1</w:t>
      </w:r>
    </w:p>
    <w:p>
      <w:pPr>
        <w:pStyle w:val="Normal"/>
        <w:jc w:val="both"/>
        <w:rPr/>
      </w:pPr>
      <w:r>
        <w:rPr/>
      </w:r>
    </w:p>
    <w:p>
      <w:pPr>
        <w:pStyle w:val="Normal"/>
        <w:jc w:val="both"/>
        <w:rPr/>
      </w:pPr>
      <w:r>
        <w:rPr/>
      </w:r>
    </w:p>
    <w:p>
      <w:pPr>
        <w:pStyle w:val="Normal"/>
        <w:jc w:val="both"/>
        <w:rPr/>
      </w:pPr>
      <w:r>
        <w:rPr/>
        <w:t xml:space="preserve">                                           </w:t>
      </w:r>
      <w:r>
        <w:rPr/>
        <w:t>DESIGNATED</w:t>
      </w:r>
    </w:p>
    <w:p>
      <w:pPr>
        <w:pStyle w:val="Normal"/>
        <w:jc w:val="both"/>
        <w:rPr/>
      </w:pPr>
      <w:r>
        <w:rPr/>
        <w:t xml:space="preserve">PERIOD OF                         QUANTITY        </w:t>
        <w:tab/>
        <w:t xml:space="preserve">          CONTRACT PRICE</w:t>
      </w:r>
    </w:p>
    <w:p>
      <w:pPr>
        <w:pStyle w:val="Normal"/>
        <w:jc w:val="both"/>
        <w:rPr/>
      </w:pPr>
      <w:r>
        <w:rPr/>
        <w:t>DELIVERY                        (MMBtu/month)                     (US Dollars/per MMBtu)</w:t>
      </w:r>
    </w:p>
    <w:p>
      <w:pPr>
        <w:pStyle w:val="Normal"/>
        <w:jc w:val="both"/>
        <w:rPr/>
      </w:pPr>
      <w:r>
        <w:rPr/>
        <w:t>------------------                   -------------------------------         --------------------------</w:t>
      </w:r>
    </w:p>
    <w:p>
      <w:pPr>
        <w:pStyle w:val="Normal"/>
        <w:jc w:val="both"/>
        <w:rPr/>
      </w:pPr>
      <w:r>
        <w:rPr/>
      </w:r>
    </w:p>
    <w:p>
      <w:pPr>
        <w:pStyle w:val="Normal"/>
        <w:jc w:val="both"/>
        <w:rPr/>
      </w:pPr>
      <w:r>
        <w:rPr/>
        <w:t>July, 2001</w:t>
        <w:tab/>
        <w:tab/>
        <w:tab/>
        <w:t>21,650</w:t>
        <w:tab/>
        <w:tab/>
        <w:tab/>
        <w:tab/>
        <w:t xml:space="preserve"> $0.68000</w:t>
      </w:r>
    </w:p>
    <w:p>
      <w:pPr>
        <w:pStyle w:val="Normal"/>
        <w:jc w:val="both"/>
        <w:rPr/>
      </w:pPr>
      <w:r>
        <w:rPr/>
        <w:t>August, 2001</w:t>
        <w:tab/>
        <w:tab/>
        <w:tab/>
        <w:t>21,650</w:t>
        <w:tab/>
        <w:tab/>
        <w:tab/>
        <w:tab/>
        <w:t xml:space="preserve"> $0.68000</w:t>
      </w:r>
    </w:p>
    <w:p>
      <w:pPr>
        <w:pStyle w:val="Normal"/>
        <w:jc w:val="both"/>
        <w:rPr/>
      </w:pPr>
      <w:r>
        <w:rPr/>
        <w:t>September, 2001</w:t>
        <w:tab/>
        <w:tab/>
        <w:t>20,950</w:t>
        <w:tab/>
        <w:tab/>
        <w:tab/>
        <w:tab/>
        <w:t xml:space="preserve"> $0.68000</w:t>
      </w:r>
    </w:p>
    <w:p>
      <w:pPr>
        <w:pStyle w:val="Normal"/>
        <w:jc w:val="both"/>
        <w:rPr/>
      </w:pPr>
      <w:r>
        <w:rPr/>
        <w:t>October, 2001</w:t>
        <w:tab/>
        <w:tab/>
        <w:tab/>
        <w:t>21,650</w:t>
        <w:tab/>
        <w:tab/>
        <w:tab/>
        <w:tab/>
        <w:t xml:space="preserve"> $0.68000</w:t>
      </w:r>
    </w:p>
    <w:p>
      <w:pPr>
        <w:pStyle w:val="Normal"/>
        <w:jc w:val="both"/>
        <w:rPr/>
      </w:pPr>
      <w:r>
        <w:rPr/>
        <w:t>November, 2001</w:t>
        <w:tab/>
        <w:tab/>
        <w:t>20,950</w:t>
        <w:tab/>
        <w:tab/>
        <w:tab/>
        <w:tab/>
        <w:t xml:space="preserve"> $0.68000</w:t>
      </w:r>
    </w:p>
    <w:p>
      <w:pPr>
        <w:pStyle w:val="Normal"/>
        <w:jc w:val="both"/>
        <w:rPr/>
      </w:pPr>
      <w:r>
        <w:rPr/>
        <w:t>December, 2001</w:t>
        <w:tab/>
        <w:tab/>
        <w:t>21,650</w:t>
        <w:tab/>
        <w:tab/>
        <w:tab/>
        <w:tab/>
        <w:t xml:space="preserve"> $0.68000</w:t>
      </w:r>
    </w:p>
    <w:p>
      <w:pPr>
        <w:pStyle w:val="Normal"/>
        <w:jc w:val="both"/>
        <w:rPr/>
      </w:pPr>
      <w:r>
        <w:rPr/>
        <w:t>January, 2002</w:t>
        <w:tab/>
        <w:tab/>
        <w:tab/>
        <w:t>21,650</w:t>
        <w:tab/>
        <w:tab/>
        <w:tab/>
        <w:tab/>
        <w:t xml:space="preserve"> $0.68000</w:t>
      </w:r>
    </w:p>
    <w:p>
      <w:pPr>
        <w:pStyle w:val="Normal"/>
        <w:jc w:val="both"/>
        <w:rPr/>
      </w:pPr>
      <w:r>
        <w:rPr/>
        <w:t>February, 2002</w:t>
        <w:tab/>
        <w:tab/>
        <w:t>19,560</w:t>
        <w:tab/>
        <w:tab/>
        <w:tab/>
        <w:tab/>
        <w:t xml:space="preserve"> $0.68000</w:t>
      </w:r>
    </w:p>
    <w:p>
      <w:pPr>
        <w:pStyle w:val="Normal"/>
        <w:jc w:val="both"/>
        <w:rPr/>
      </w:pPr>
      <w:r>
        <w:rPr/>
        <w:t>March, 2002</w:t>
        <w:tab/>
        <w:tab/>
        <w:tab/>
        <w:t>21,650</w:t>
        <w:tab/>
        <w:tab/>
        <w:tab/>
        <w:tab/>
        <w:t xml:space="preserve"> $0.68000</w:t>
      </w:r>
    </w:p>
    <w:p>
      <w:pPr>
        <w:pStyle w:val="Normal"/>
        <w:jc w:val="both"/>
        <w:rPr/>
      </w:pPr>
      <w:r>
        <w:rPr/>
        <w:t>April, 2002</w:t>
        <w:tab/>
        <w:tab/>
        <w:tab/>
        <w:t>20,950</w:t>
        <w:tab/>
        <w:tab/>
        <w:tab/>
        <w:tab/>
        <w:t xml:space="preserve"> $0.68000</w:t>
      </w:r>
    </w:p>
    <w:p>
      <w:pPr>
        <w:pStyle w:val="Normal"/>
        <w:jc w:val="both"/>
        <w:rPr/>
      </w:pPr>
      <w:r>
        <w:rPr/>
        <w:t>May, 2002</w:t>
        <w:tab/>
        <w:tab/>
        <w:tab/>
        <w:t>21,650</w:t>
        <w:tab/>
        <w:tab/>
        <w:tab/>
        <w:tab/>
        <w:t xml:space="preserve"> $0.68000</w:t>
      </w:r>
    </w:p>
    <w:p>
      <w:pPr>
        <w:pStyle w:val="Normal"/>
        <w:jc w:val="both"/>
        <w:rPr/>
      </w:pPr>
      <w:r>
        <w:rPr/>
        <w:t>June, 2002</w:t>
        <w:tab/>
        <w:tab/>
        <w:tab/>
        <w:t>20,950</w:t>
        <w:tab/>
        <w:tab/>
        <w:tab/>
        <w:tab/>
        <w:t xml:space="preserve"> $0.68000</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b/>
        <w:tab/>
        <w:tab/>
        <w:t>End Of Attachment</w:t>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The Procter &amp; Gamble Company</w:t>
    </w:r>
    <w:r>
      <w:rPr/>
      <w:fldChar w:fldCharType="end"/>
    </w:r>
  </w:p>
  <w:p>
    <w:pPr>
      <w:pStyle w:val="Header"/>
      <w:rPr/>
    </w:pPr>
    <w:r>
      <w:rPr/>
      <w:t xml:space="preserve">Trans.#: </w:t>
    </w:r>
    <w:r>
      <w:rPr/>
      <w:fldChar w:fldCharType="begin"/>
    </w:r>
    <w:r>
      <w:rPr/>
      <w:instrText xml:space="preserve"> TITLE </w:instrText>
    </w:r>
    <w:r>
      <w:rPr/>
      <w:fldChar w:fldCharType="separate"/>
    </w:r>
    <w:r>
      <w:rPr/>
      <w:t>V34591.1</w:t>
    </w:r>
    <w:r>
      <w:rPr/>
      <w:fldChar w:fldCharType="end"/>
    </w:r>
    <w:r>
      <w:rPr/>
      <w:t xml:space="preserve"> </w:t>
    </w:r>
  </w:p>
  <w:p>
    <w:pPr>
      <w:pStyle w:val="Header"/>
      <w:rPr/>
    </w:pPr>
    <w:r>
      <w:rPr>
        <w:u w:val="single"/>
      </w:rPr>
      <w:t xml:space="preserve">Page:  </w:t>
    </w:r>
    <w:r>
      <w:rPr>
        <w:u w:val="single"/>
      </w:rPr>
      <w:fldChar w:fldCharType="begin"/>
    </w:r>
    <w:r>
      <w:rPr>
        <w:u w:val="single"/>
      </w:rPr>
      <w:instrText xml:space="preserve"> PAGE </w:instrText>
    </w:r>
    <w:r>
      <w:rPr>
        <w:u w:val="single"/>
      </w:rPr>
      <w:fldChar w:fldCharType="separate"/>
    </w:r>
    <w:r>
      <w:rPr>
        <w:u w:val="single"/>
      </w:rPr>
      <w:t>3</w:t>
    </w:r>
    <w:r>
      <w:rPr>
        <w:u w:val="single"/>
      </w:rPr>
      <w:fldChar w:fldCharType="end"/>
    </w: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2001-04-18T11:49:00Z</dcterms:created>
  <dc:creator>ECT</dc:creator>
  <dc:description/>
  <dc:language>en-CA</dc:language>
  <cp:lastModifiedBy>ewallumr</cp:lastModifiedBy>
  <dcterms:modified xsi:type="dcterms:W3CDTF">2001-04-18T11:49:00Z</dcterms:modified>
  <cp:revision>2</cp:revision>
  <dc:subject>The Procter &amp; Gamble Company</dc:subject>
  <dc:title>V34591.1</dc:title>
</cp:coreProperties>
</file>