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jc w:val="center"/>
        <w:rPr/>
      </w:pPr>
      <w:r>
        <w:fldChar w:fldCharType="begin"/>
      </w:r>
      <w:r>
        <w:rPr/>
        <w:instrText xml:space="preserve"> </w:instrText>
      </w:r>
      <w:r>
        <w:rPr/>
      </w:r>
      <w:r>
        <w:rPr/>
        <w:fldChar w:fldCharType="separate"/>
      </w:r>
      <w:r>
        <w:rPr/>
      </w:r>
      <w:r>
        <w:rPr/>
      </w:r>
      <w:r>
        <w:rPr/>
        <w:fldChar w:fldCharType="end"/>
      </w:r>
      <w:r>
        <w:rPr/>
        <w:fldChar w:fldCharType="begin"/>
      </w:r>
      <w:r>
        <w:rPr/>
        <w:instrText xml:space="preserve"> MERGEFIELD DateToday </w:instrText>
      </w:r>
      <w:r>
        <w:rPr/>
        <w:fldChar w:fldCharType="separate"/>
      </w:r>
      <w:r>
        <w:rPr/>
        <w:t>April 17,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Duke Energy Trading and Marketing, L.L.C.</w:t>
      </w:r>
      <w:r>
        <w:rPr/>
        <w:fldChar w:fldCharType="end"/>
      </w:r>
    </w:p>
    <w:p>
      <w:pPr>
        <w:pStyle w:val="Normal"/>
        <w:rPr/>
      </w:pPr>
      <w:r>
        <w:rPr/>
        <w:fldChar w:fldCharType="begin"/>
      </w:r>
      <w:r>
        <w:rPr/>
        <w:instrText xml:space="preserve"> MERGEFIELD CounterpartyAddr1 </w:instrText>
      </w:r>
      <w:r>
        <w:rPr/>
        <w:fldChar w:fldCharType="separate"/>
      </w:r>
      <w:r>
        <w:rPr/>
        <w:t>10777 Westheimer Ste 650</w:t>
      </w:r>
      <w:r>
        <w:rPr/>
        <w:fldChar w:fldCharType="end"/>
      </w:r>
    </w:p>
    <w:p>
      <w:pPr>
        <w:pStyle w:val="Normal"/>
        <w:rPr/>
      </w:pPr>
      <w:r>
        <w:rPr/>
        <w:fldChar w:fldCharType="begin"/>
      </w:r>
      <w:r>
        <w:rPr/>
        <w:instrText xml:space="preserve"> MERGEFIELD CounterpartyAddr2 </w:instrText>
      </w:r>
      <w:r>
        <w:rPr/>
        <w:fldChar w:fldCharType="separate"/>
      </w:r>
      <w:r>
        <w:rPr/>
        <w:t>Houston, TX 77042-3455</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(713) 260-1825</w:t>
      </w:r>
      <w:r>
        <w:rPr/>
        <w:fldChar w:fldCharType="end"/>
      </w:r>
    </w:p>
    <w:p>
      <w:pPr>
        <w:pStyle w:val="Normal"/>
        <w:rPr/>
      </w:pPr>
      <w:r>
        <w:rPr/>
        <w:t xml:space="preserve">Trans. No.:  </w:t>
      </w:r>
      <w:r>
        <w:rPr/>
        <w:fldChar w:fldCharType="begin"/>
      </w:r>
      <w:r>
        <w:rPr/>
        <w:instrText xml:space="preserve"> MERGEFIELD DealNumber </w:instrText>
      </w:r>
      <w:r>
        <w:rPr/>
        <w:fldChar w:fldCharType="separate"/>
      </w:r>
      <w:r>
        <w:rPr/>
        <w:t>V31123.1</w:t>
      </w:r>
      <w:r>
        <w:rPr/>
        <w:fldChar w:fldCharType="end"/>
      </w:r>
      <w:r>
        <w:rPr/>
        <w:t xml:space="preserve"> / </w:t>
      </w:r>
      <w:r>
        <w:rPr/>
        <w:fldChar w:fldCharType="begin"/>
      </w:r>
      <w:r>
        <w:rPr/>
        <w:instrText xml:space="preserve"> MERGEFIELD SitaraDealNumber </w:instrText>
      </w:r>
      <w:r>
        <w:rPr/>
        <w:fldChar w:fldCharType="separate"/>
      </w:r>
      <w:r>
        <w:rPr/>
        <w:t>727650</w:t>
      </w:r>
      <w:r>
        <w:rPr/>
        <w:fldChar w:fldCharType="end"/>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jc w:val="center"/>
        <w:rPr>
          <w:b/>
        </w:rPr>
      </w:pPr>
      <w:r>
        <w:rPr>
          <w:b/>
        </w:rPr>
      </w:r>
    </w:p>
    <w:p>
      <w:pPr>
        <w:pStyle w:val="Normal"/>
        <w:jc w:val="both"/>
        <w:rPr/>
      </w:pPr>
      <w:r>
        <w:rPr/>
        <w:t xml:space="preserve">This Confirmation shall confirm the transaction agreed to on </w:t>
      </w:r>
      <w:r>
        <w:rPr/>
        <w:fldChar w:fldCharType="begin"/>
      </w:r>
      <w:r>
        <w:rPr/>
        <w:instrText xml:space="preserve"> MERGEFIELD DealDate </w:instrText>
      </w:r>
      <w:r>
        <w:rPr/>
        <w:fldChar w:fldCharType="separate"/>
      </w:r>
      <w:r>
        <w:rPr/>
        <w:t>April 11, 2001</w:t>
      </w:r>
      <w:r>
        <w:rPr/>
        <w:fldChar w:fldCharType="end"/>
      </w:r>
      <w:r>
        <w:rPr/>
        <w:t xml:space="preserve"> and binding between </w:t>
      </w:r>
      <w:r>
        <w:rPr/>
        <w:fldChar w:fldCharType="begin"/>
      </w:r>
      <w:r>
        <w:rPr/>
        <w:instrText xml:space="preserve"> MERGEFIELD CounterpartyName </w:instrText>
      </w:r>
      <w:r>
        <w:rPr/>
        <w:fldChar w:fldCharType="separate"/>
      </w:r>
      <w:r>
        <w:rPr/>
        <w:t>Duke Energy Trading and Marketing, L.L.C.</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Company</w:t>
      </w:r>
      <w:r>
        <w:rPr/>
        <w:fldChar w:fldCharType="end"/>
      </w:r>
      <w:r>
        <w:rPr/>
        <w:t xml:space="preserve"> to purchase and receive ("Buyer") and </w:t>
      </w:r>
      <w:r>
        <w:rPr/>
        <w:fldChar w:fldCharType="begin"/>
      </w:r>
      <w:r>
        <w:rPr/>
        <w:instrText xml:space="preserve"> MERGEFIELD Seller </w:instrText>
      </w:r>
      <w:r>
        <w:rPr/>
        <w:fldChar w:fldCharType="separate"/>
      </w:r>
      <w:r>
        <w:rPr/>
        <w:t>Customer</w:t>
      </w:r>
      <w:r>
        <w:rPr/>
        <w:fldChar w:fldCharType="end"/>
      </w:r>
      <w:r>
        <w:rPr/>
        <w:t xml:space="preserve"> to sell and deliver ("Seller").</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258"/>
        <w:gridCol w:w="6318"/>
      </w:tblGrid>
      <w:tr>
        <w:trPr/>
        <w:tc>
          <w:tcPr>
            <w:tcW w:w="3258" w:type="dxa"/>
            <w:tcBorders/>
          </w:tcPr>
          <w:p>
            <w:pPr>
              <w:pStyle w:val="Normal"/>
              <w:rPr>
                <w:b/>
              </w:rPr>
            </w:pPr>
            <w:r>
              <w:rPr>
                <w:b/>
              </w:rPr>
              <w:t>DESIGNATED QUANTITY:</w:t>
            </w:r>
          </w:p>
        </w:tc>
        <w:tc>
          <w:tcPr>
            <w:tcW w:w="6318" w:type="dxa"/>
            <w:tcBorders/>
          </w:tcPr>
          <w:p>
            <w:pPr>
              <w:pStyle w:val="Normal"/>
              <w:jc w:val="both"/>
              <w:rPr>
                <w:b/>
              </w:rPr>
            </w:pPr>
            <w:r>
              <w:rPr/>
              <w:fldChar w:fldCharType="begin"/>
            </w:r>
            <w:r>
              <w:rPr/>
              <w:instrText xml:space="preserve"> MERGEFIELD QtyPerPeriod </w:instrText>
            </w:r>
            <w:r>
              <w:rPr/>
              <w:fldChar w:fldCharType="separate"/>
            </w:r>
            <w:r>
              <w:rPr/>
              <w:t>10,000 MMBtu per day</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DELIVERY POINT(S):</w:t>
            </w:r>
          </w:p>
        </w:tc>
        <w:tc>
          <w:tcPr>
            <w:tcW w:w="6318" w:type="dxa"/>
            <w:tcBorders/>
          </w:tcPr>
          <w:p>
            <w:pPr>
              <w:pStyle w:val="Normal"/>
              <w:jc w:val="both"/>
              <w:rPr>
                <w:b/>
              </w:rPr>
            </w:pPr>
            <w:r>
              <w:rPr/>
              <w:t>Pacific Gas and Electric Company – City Gate</w:t>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PERIOD OF DELIVERY:</w:t>
            </w:r>
          </w:p>
        </w:tc>
        <w:tc>
          <w:tcPr>
            <w:tcW w:w="6318" w:type="dxa"/>
            <w:tcBorders/>
          </w:tcPr>
          <w:p>
            <w:pPr>
              <w:pStyle w:val="Normal"/>
              <w:jc w:val="both"/>
              <w:rPr>
                <w:b/>
              </w:rPr>
            </w:pPr>
            <w:r>
              <w:rPr/>
              <w:fldChar w:fldCharType="begin"/>
            </w:r>
            <w:r>
              <w:rPr/>
              <w:instrText xml:space="preserve"> MERGEFIELD DeliveryPeriod </w:instrText>
            </w:r>
            <w:r>
              <w:rPr/>
              <w:fldChar w:fldCharType="separate"/>
            </w:r>
            <w:r>
              <w:rPr/>
              <w:t>May 01, 2001 through April 30, 2004</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CONTRACT PRICE (PER MMBTU):</w:t>
            </w:r>
          </w:p>
        </w:tc>
        <w:tc>
          <w:tcPr>
            <w:tcW w:w="6318" w:type="dxa"/>
            <w:tcBorders/>
          </w:tcPr>
          <w:p>
            <w:pPr>
              <w:pStyle w:val="Normal"/>
              <w:snapToGrid w:val="false"/>
              <w:jc w:val="both"/>
              <w:rPr>
                <w:b/>
              </w:rPr>
            </w:pPr>
            <w:r>
              <w:rPr>
                <w:b/>
              </w:rPr>
            </w:r>
          </w:p>
          <w:p>
            <w:pPr>
              <w:pStyle w:val="Normal"/>
              <w:jc w:val="both"/>
              <w:rPr>
                <w:b/>
              </w:rPr>
            </w:pPr>
            <w:r>
              <w:rPr/>
              <w:fldChar w:fldCharType="begin"/>
            </w:r>
            <w:r>
              <w:rPr/>
              <w:instrText xml:space="preserve"> MERGEFIELD FixedPrice </w:instrText>
            </w:r>
            <w:r>
              <w:rPr/>
              <w:fldChar w:fldCharType="separate"/>
            </w:r>
            <w:r>
              <w:rPr/>
              <w:t>The “Bidweek Avg.” price published in Natural Gas Intelligence Gas Price Index for California:  PG&amp;E CityGate as listed in the table entitled “Spot Gas Prices” in the first-of-the-month issue of such publication for each Month during the Period of Delivery plus US Dollars $0.06000 per MMBtu</w:t>
            </w:r>
            <w:r>
              <w:rPr/>
              <w:fldChar w:fldCharType="end"/>
            </w:r>
          </w:p>
        </w:tc>
      </w:tr>
    </w:tbl>
    <w:p>
      <w:pPr>
        <w:pStyle w:val="Normal"/>
        <w:rPr>
          <w:b/>
        </w:rPr>
      </w:pPr>
      <w:r>
        <w:rPr>
          <w:b/>
        </w:rPr>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numPr>
          <w:ilvl w:val="0"/>
          <w:numId w:val="0"/>
        </w:numPr>
        <w:outlineLvl w:val="0"/>
        <w:rPr/>
      </w:pPr>
      <w:r>
        <w:rPr/>
        <w:t>P.O. Box 4428</w:t>
      </w:r>
    </w:p>
    <w:p>
      <w:pPr>
        <w:pStyle w:val="Normal"/>
        <w:rPr/>
      </w:pPr>
      <w:r>
        <w:rPr/>
        <w:t>Houston, Texas 77210-4428</w:t>
      </w:r>
    </w:p>
    <w:p>
      <w:pPr>
        <w:pStyle w:val="Normal"/>
        <w:rPr/>
      </w:pPr>
      <w:r>
        <w:rPr/>
        <w:t>Attn: Documentation and Deal Clearing</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numPr>
          <w:ilvl w:val="0"/>
          <w:numId w:val="0"/>
        </w:numPr>
        <w:outlineLvl w:val="0"/>
        <w:rPr>
          <w:b/>
        </w:rPr>
      </w:pPr>
      <w:r>
        <w:rPr>
          <w:b/>
        </w:rPr>
        <w:t>PAYMENTS:</w:t>
      </w:r>
    </w:p>
    <w:p>
      <w:pPr>
        <w:pStyle w:val="Normal"/>
        <w:rPr/>
      </w:pPr>
      <w:r>
        <w:rPr/>
        <w:fldChar w:fldCharType="begin"/>
      </w:r>
      <w:r>
        <w:rPr/>
        <w:instrText xml:space="preserve"> MERGEFIELD EnronEntityName </w:instrText>
      </w:r>
      <w:r>
        <w:rPr/>
        <w:fldChar w:fldCharType="separate"/>
      </w:r>
      <w:r>
        <w:rPr/>
        <w:t>Enron North America Corp.</w:t>
      </w:r>
      <w:r>
        <w:rPr/>
        <w:fldChar w:fldCharType="end"/>
      </w:r>
    </w:p>
    <w:p>
      <w:pPr>
        <w:pStyle w:val="Normal"/>
        <w:rPr/>
      </w:pPr>
      <w:r>
        <w:rPr/>
        <w:t>ABA Routing 111000012 / Bank of America / Account 3750494099</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 xml:space="preserve">Attn: </w:t>
      </w:r>
      <w:r>
        <w:rPr/>
        <w:fldChar w:fldCharType="begin"/>
      </w:r>
      <w:r>
        <w:rPr/>
        <w:instrText xml:space="preserve"> MERGEFIELD EnronEntityCode </w:instrText>
      </w:r>
      <w:r>
        <w:rPr/>
        <w:fldChar w:fldCharType="separate"/>
      </w:r>
      <w:r>
        <w:rPr/>
        <w:t>ENA</w:t>
      </w:r>
      <w:r>
        <w:rPr/>
        <w:fldChar w:fldCharType="end"/>
      </w:r>
      <w:r>
        <w:rPr/>
        <w:t xml:space="preserve">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t>By:       «SignatureGoesHere»</w:t>
      </w:r>
    </w:p>
    <w:p>
      <w:pPr>
        <w:pStyle w:val="Normal"/>
        <w:jc w:val="both"/>
        <w:rPr/>
      </w:pPr>
      <w:r>
        <w:rPr/>
      </w:r>
    </w:p>
    <w:p>
      <w:pPr>
        <w:pStyle w:val="Normal"/>
        <w:numPr>
          <w:ilvl w:val="0"/>
          <w:numId w:val="0"/>
        </w:numPr>
        <w:jc w:val="both"/>
        <w:outlineLvl w:val="0"/>
        <w:rPr/>
      </w:pPr>
      <w:r>
        <w:rPr/>
        <w:t>Name:  «SignerName»</w:t>
      </w:r>
    </w:p>
    <w:p>
      <w:pPr>
        <w:pStyle w:val="Normal"/>
        <w:jc w:val="both"/>
        <w:rPr/>
      </w:pPr>
      <w:r>
        <w:rPr/>
      </w:r>
    </w:p>
    <w:p>
      <w:pPr>
        <w:pStyle w:val="Normal"/>
        <w:jc w:val="both"/>
        <w:rPr/>
      </w:pPr>
      <w:r>
        <w:rPr/>
        <w:t>Title:    «SignerTitle»</w:t>
      </w:r>
    </w:p>
    <w:p>
      <w:pPr>
        <w:pStyle w:val="Normal"/>
        <w:jc w:val="both"/>
        <w:rPr/>
      </w:pPr>
      <w:r>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Duke Energy Trading and Marketing, L.L.C.</w:t>
    </w:r>
    <w:r>
      <w:rPr/>
      <w:fldChar w:fldCharType="end"/>
    </w:r>
  </w:p>
  <w:p>
    <w:pPr>
      <w:pStyle w:val="Header"/>
      <w:rPr/>
    </w:pPr>
    <w:r>
      <w:rPr/>
      <w:t xml:space="preserve">Trans.#: </w:t>
    </w:r>
    <w:r>
      <w:rPr/>
      <w:fldChar w:fldCharType="begin"/>
    </w:r>
    <w:r>
      <w:rPr/>
      <w:instrText xml:space="preserve"> TITLE </w:instrText>
    </w:r>
    <w:r>
      <w:rPr/>
      <w:fldChar w:fldCharType="separate"/>
    </w:r>
    <w:r>
      <w:rPr/>
      <w:t>V31123.1</w:t>
    </w:r>
    <w:r>
      <w:rPr/>
      <w:fldChar w:fldCharType="end"/>
    </w:r>
    <w:r>
      <w:rPr/>
      <w:t xml:space="preserve"> </w:t>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2</w:t>
    </w:r>
    <w:r>
      <w:rPr>
        <w:u w:val="single"/>
      </w:rPr>
      <w:fldChar w:fldCharType="end"/>
    </w: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2001-04-17T19:08:00Z</dcterms:created>
  <dc:creator>ECT</dc:creator>
  <dc:description/>
  <dc:language>en-CA</dc:language>
  <cp:lastModifiedBy>rdeming</cp:lastModifiedBy>
  <dcterms:modified xsi:type="dcterms:W3CDTF">2001-04-17T19:11:00Z</dcterms:modified>
  <cp:revision>2</cp:revision>
  <dc:subject>Duke Energy Trading and Marketing, L.L.C.</dc:subject>
  <dc:title>V31123.1</dc:title>
</cp:coreProperties>
</file>