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drawing>
                <wp:inline distT="0" distB="0" distL="0" distR="0">
                  <wp:extent cx="1091565" cy="1085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1565" cy="1085850"/>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i/>
                <w:i/>
                <w:sz w:val="18"/>
              </w:rPr>
            </w:pPr>
            <w:r>
              <w:rPr>
                <w:i/>
                <w:sz w:val="18"/>
              </w:rPr>
              <w:t>P.O. Box 4428</w:t>
            </w:r>
          </w:p>
          <w:p>
            <w:pPr>
              <w:pStyle w:val="Normal"/>
              <w:tabs>
                <w:tab w:val="clear" w:pos="720"/>
                <w:tab w:val="left" w:pos="2412" w:leader="none"/>
              </w:tabs>
              <w:ind w:start="1962" w:end="0"/>
              <w:rPr>
                <w:i/>
                <w:i/>
                <w:sz w:val="18"/>
              </w:rPr>
            </w:pPr>
            <w:r>
              <w:rPr>
                <w:i/>
                <w:sz w:val="18"/>
              </w:rPr>
              <w:t>Houston, TX  77210-4428</w:t>
            </w:r>
          </w:p>
          <w:p>
            <w:pPr>
              <w:pStyle w:val="Normal"/>
              <w:tabs>
                <w:tab w:val="clear" w:pos="720"/>
                <w:tab w:val="left" w:pos="2412" w:leader="none"/>
              </w:tabs>
              <w:ind w:start="1962" w:end="0"/>
              <w:rPr>
                <w:i/>
                <w:i/>
                <w:sz w:val="18"/>
              </w:rPr>
            </w:pPr>
            <w:r>
              <w:rPr>
                <w:i/>
                <w:sz w:val="18"/>
              </w:rPr>
              <w:t>Phone (713) 853-3300</w:t>
            </w:r>
          </w:p>
          <w:p>
            <w:pPr>
              <w:pStyle w:val="Normal"/>
              <w:tabs>
                <w:tab w:val="clear" w:pos="720"/>
                <w:tab w:val="left" w:pos="2412" w:leader="none"/>
              </w:tabs>
              <w:ind w:start="1962" w:end="0"/>
              <w:rPr>
                <w:i/>
                <w:i/>
                <w:sz w:val="18"/>
              </w:rPr>
            </w:pPr>
            <w:r>
              <w:rPr>
                <w:i/>
                <w:sz w:val="18"/>
              </w:rPr>
              <w:t>Fax (713) 646-4816</w:t>
            </w:r>
          </w:p>
        </w:tc>
      </w:tr>
    </w:tbl>
    <w:p>
      <w:pPr>
        <w:pStyle w:val="Normal"/>
        <w:tabs>
          <w:tab w:val="clear" w:pos="720"/>
          <w:tab w:val="left" w:pos="630" w:leader="none"/>
        </w:tabs>
        <w:rPr>
          <w:sz w:val="22"/>
        </w:rPr>
      </w:pPr>
      <w:r>
        <w:rPr>
          <w:sz w:val="22"/>
        </w:rPr>
      </w:r>
    </w:p>
    <w:p>
      <w:pPr>
        <w:pStyle w:val="Normal"/>
        <w:jc w:val="center"/>
        <w:rPr>
          <w:sz w:val="22"/>
        </w:rPr>
      </w:pPr>
      <w:r>
        <w:rPr>
          <w:sz w:val="22"/>
        </w:rPr>
        <w:fldChar w:fldCharType="begin"/>
      </w:r>
      <w:r>
        <w:rPr>
          <w:sz w:val="22"/>
        </w:rPr>
        <w:instrText xml:space="preserve"> MERGEFIELD DateToday </w:instrText>
      </w:r>
      <w:r>
        <w:rPr>
          <w:sz w:val="22"/>
        </w:rPr>
        <w:fldChar w:fldCharType="separate"/>
      </w:r>
      <w:r>
        <w:rPr>
          <w:sz w:val="22"/>
        </w:rPr>
        <w:t>October 25, 2001</w:t>
      </w:r>
      <w:r>
        <w:rPr>
          <w:sz w:val="22"/>
        </w:rPr>
        <w:fldChar w:fldCharType="end"/>
      </w:r>
    </w:p>
    <w:p>
      <w:pPr>
        <w:pStyle w:val="Normal"/>
        <w:rPr>
          <w:sz w:val="22"/>
        </w:rPr>
      </w:pPr>
      <w:r>
        <w:rPr>
          <w:sz w:val="22"/>
        </w:rPr>
      </w:r>
    </w:p>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Co-Steel Inc.</w:t>
      </w:r>
      <w:r>
        <w:rPr>
          <w:sz w:val="22"/>
        </w:rPr>
        <w:fldChar w:fldCharType="end"/>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Fax No.:  713-463-5032</w:t>
      </w:r>
    </w:p>
    <w:p>
      <w:pPr>
        <w:pStyle w:val="Normal"/>
        <w:rPr>
          <w:sz w:val="22"/>
        </w:rPr>
      </w:pPr>
      <w:r>
        <w:rPr>
          <w:sz w:val="22"/>
        </w:rPr>
        <w:t xml:space="preserve">Trans. No.:  </w:t>
      </w:r>
      <w:r>
        <w:rPr>
          <w:sz w:val="22"/>
        </w:rPr>
        <w:fldChar w:fldCharType="begin"/>
      </w:r>
      <w:r>
        <w:rPr>
          <w:sz w:val="22"/>
        </w:rPr>
        <w:instrText xml:space="preserve"> MERGEFIELD DealNumber </w:instrText>
      </w:r>
      <w:r>
        <w:rPr>
          <w:sz w:val="22"/>
        </w:rPr>
        <w:fldChar w:fldCharType="separate"/>
      </w:r>
      <w:r>
        <w:rPr>
          <w:sz w:val="22"/>
        </w:rPr>
        <w:t>YD6829.1</w:t>
      </w:r>
      <w:r>
        <w:rPr>
          <w:sz w:val="22"/>
        </w:rPr>
        <w:fldChar w:fldCharType="end"/>
      </w:r>
      <w:r>
        <w:rPr>
          <w:sz w:val="22"/>
        </w:rPr>
        <w:t xml:space="preserve"> / </w:t>
      </w:r>
      <w:r>
        <w:rPr>
          <w:sz w:val="22"/>
        </w:rPr>
        <w:fldChar w:fldCharType="begin"/>
      </w:r>
      <w:r>
        <w:rPr>
          <w:sz w:val="22"/>
        </w:rPr>
        <w:instrText xml:space="preserve"> MERGEFIELD SitaraDealNumber </w:instrText>
      </w:r>
      <w:r>
        <w:rPr>
          <w:sz w:val="22"/>
        </w:rPr>
        <w:fldChar w:fldCharType="separate"/>
      </w:r>
      <w:r>
        <w:rPr>
          <w:sz w:val="22"/>
        </w:rPr>
        <w:t>1131418</w:t>
      </w:r>
      <w:r>
        <w:rPr>
          <w:sz w:val="22"/>
        </w:rPr>
        <w:fldChar w:fldCharType="end"/>
      </w:r>
    </w:p>
    <w:p>
      <w:pPr>
        <w:pStyle w:val="Normal"/>
        <w:rPr>
          <w:sz w:val="22"/>
        </w:rPr>
      </w:pPr>
      <w:r>
        <w:rPr>
          <w:sz w:val="22"/>
        </w:rPr>
      </w:r>
    </w:p>
    <w:p>
      <w:pPr>
        <w:pStyle w:val="Normal"/>
        <w:jc w:val="center"/>
        <w:rPr/>
      </w:pPr>
      <w:r>
        <w:rPr>
          <w:b/>
          <w:sz w:val="22"/>
        </w:rPr>
        <w:t>ENFOLIO</w:t>
      </w:r>
      <w:r>
        <w:rPr>
          <w:rFonts w:ascii="Symbol" w:hAnsi="Symbol"/>
          <w:b/>
          <w:position w:val="6"/>
          <w:sz w:val="22"/>
        </w:rPr>
        <w:sym w:font="Symbol" w:char="e2"/>
      </w:r>
      <w:r>
        <w:rPr>
          <w:b/>
          <w:position w:val="6"/>
          <w:sz w:val="22"/>
        </w:rPr>
        <w:t xml:space="preserve"> </w:t>
      </w:r>
      <w:r>
        <w:rPr>
          <w:b/>
          <w:sz w:val="22"/>
        </w:rPr>
        <w:t>FIRM  CONFIRMATION--ENFOLIO</w:t>
      </w:r>
      <w:r>
        <w:rPr>
          <w:rFonts w:ascii="Symbol" w:hAnsi="Symbol"/>
          <w:b/>
          <w:position w:val="6"/>
          <w:sz w:val="22"/>
        </w:rPr>
        <w:sym w:font="Symbol" w:char="e2"/>
      </w:r>
      <w:r>
        <w:rPr>
          <w:b/>
          <w:position w:val="6"/>
          <w:sz w:val="22"/>
        </w:rPr>
        <w:t xml:space="preserve"> </w:t>
      </w:r>
      <w:r>
        <w:rPr>
          <w:b/>
          <w:sz w:val="22"/>
        </w:rPr>
        <w:t>FIRM GENERAL TERMS &amp; CONDITIONS GOVERN</w:t>
      </w:r>
    </w:p>
    <w:p>
      <w:pPr>
        <w:pStyle w:val="Normal"/>
        <w:jc w:val="center"/>
        <w:rPr>
          <w:b/>
          <w:sz w:val="22"/>
        </w:rPr>
      </w:pPr>
      <w:r>
        <w:rPr>
          <w:b/>
          <w:sz w:val="22"/>
        </w:rPr>
      </w:r>
    </w:p>
    <w:p>
      <w:pPr>
        <w:pStyle w:val="Normal"/>
        <w:jc w:val="both"/>
        <w:rPr/>
      </w:pPr>
      <w:r>
        <w:rPr>
          <w:sz w:val="22"/>
        </w:rPr>
        <w:t xml:space="preserve">This Confirmation shall confirm the transaction agreed to on </w:t>
      </w:r>
      <w:r>
        <w:rPr>
          <w:sz w:val="22"/>
        </w:rPr>
        <w:fldChar w:fldCharType="begin"/>
      </w:r>
      <w:r>
        <w:rPr>
          <w:sz w:val="22"/>
        </w:rPr>
        <w:instrText xml:space="preserve"> MERGEFIELD DealDate </w:instrText>
      </w:r>
      <w:r>
        <w:rPr>
          <w:sz w:val="22"/>
        </w:rPr>
        <w:fldChar w:fldCharType="separate"/>
      </w:r>
      <w:r>
        <w:rPr>
          <w:sz w:val="22"/>
        </w:rPr>
        <w:t>October 24, 2001</w:t>
      </w:r>
      <w:r>
        <w:rPr>
          <w:sz w:val="22"/>
        </w:rPr>
        <w:fldChar w:fldCharType="end"/>
      </w:r>
      <w:r>
        <w:rPr>
          <w:sz w:val="22"/>
        </w:rPr>
        <w:t xml:space="preserve"> and binding between </w:t>
      </w:r>
      <w:r>
        <w:rPr>
          <w:sz w:val="22"/>
        </w:rPr>
        <w:fldChar w:fldCharType="begin"/>
      </w:r>
      <w:r>
        <w:rPr>
          <w:sz w:val="22"/>
        </w:rPr>
        <w:instrText xml:space="preserve"> MERGEFIELD CounterpartyName </w:instrText>
      </w:r>
      <w:r>
        <w:rPr>
          <w:sz w:val="22"/>
        </w:rPr>
        <w:fldChar w:fldCharType="separate"/>
      </w:r>
      <w:r>
        <w:rPr>
          <w:sz w:val="22"/>
        </w:rPr>
        <w:t>Co-Steel Inc.</w:t>
      </w:r>
      <w:r>
        <w:rPr>
          <w:sz w:val="22"/>
        </w:rPr>
        <w:fldChar w:fldCharType="end"/>
      </w:r>
      <w:r>
        <w:rPr>
          <w:sz w:val="22"/>
        </w:rPr>
        <w:t xml:space="preserve"> ("Customer") and </w:t>
      </w: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r>
        <w:rPr>
          <w:sz w:val="22"/>
        </w:rPr>
        <w:t xml:space="preserve"> ("</w:t>
      </w:r>
      <w:r>
        <w:rPr>
          <w:sz w:val="22"/>
        </w:rPr>
        <w:fldChar w:fldCharType="begin"/>
      </w:r>
      <w:r>
        <w:rPr>
          <w:sz w:val="22"/>
        </w:rPr>
        <w:instrText xml:space="preserve"> MERGEFIELD EnronEntityCode </w:instrText>
      </w:r>
      <w:r>
        <w:rPr>
          <w:sz w:val="22"/>
        </w:rPr>
        <w:fldChar w:fldCharType="separate"/>
      </w:r>
      <w:r>
        <w:rPr>
          <w:sz w:val="22"/>
        </w:rPr>
        <w:t>ENA</w:t>
      </w:r>
      <w:r>
        <w:rPr>
          <w:sz w:val="22"/>
        </w:rPr>
        <w:fldChar w:fldCharType="end"/>
      </w:r>
      <w:r>
        <w:rPr>
          <w:sz w:val="22"/>
        </w:rPr>
        <w:t xml:space="preserve">" and "Company") regarding the purchase and sale of gas on the following terms. </w:t>
      </w:r>
      <w:r>
        <w:rPr>
          <w:sz w:val="22"/>
        </w:rPr>
        <w:fldChar w:fldCharType="begin"/>
      </w:r>
      <w:r>
        <w:rPr>
          <w:sz w:val="22"/>
        </w:rPr>
        <w:instrText xml:space="preserve"> MERGEFIELD Buyer </w:instrText>
      </w:r>
      <w:r>
        <w:rPr>
          <w:sz w:val="22"/>
        </w:rPr>
        <w:fldChar w:fldCharType="separate"/>
      </w:r>
      <w:r>
        <w:rPr>
          <w:sz w:val="22"/>
        </w:rPr>
        <w:t>Customer</w:t>
      </w:r>
      <w:r>
        <w:rPr>
          <w:sz w:val="22"/>
        </w:rPr>
        <w:fldChar w:fldCharType="end"/>
      </w:r>
      <w:r>
        <w:rPr>
          <w:sz w:val="22"/>
        </w:rPr>
        <w:t xml:space="preserve"> to purchase and receive ("Buyer") and </w:t>
      </w:r>
      <w:r>
        <w:rPr>
          <w:sz w:val="22"/>
        </w:rPr>
        <w:fldChar w:fldCharType="begin"/>
      </w:r>
      <w:r>
        <w:rPr>
          <w:sz w:val="22"/>
        </w:rPr>
        <w:instrText xml:space="preserve"> MERGEFIELD Seller </w:instrText>
      </w:r>
      <w:r>
        <w:rPr>
          <w:sz w:val="22"/>
        </w:rPr>
        <w:fldChar w:fldCharType="separate"/>
      </w:r>
      <w:r>
        <w:rPr>
          <w:sz w:val="22"/>
        </w:rPr>
        <w:t>Company</w:t>
      </w:r>
      <w:r>
        <w:rPr>
          <w:sz w:val="22"/>
        </w:rPr>
        <w:fldChar w:fldCharType="end"/>
      </w:r>
      <w:r>
        <w:rPr>
          <w:sz w:val="22"/>
        </w:rPr>
        <w:t xml:space="preserve"> to sell and deliver ("Seller").</w:t>
      </w:r>
    </w:p>
    <w:p>
      <w:pPr>
        <w:pStyle w:val="Normal"/>
        <w:rPr>
          <w:b/>
          <w:sz w:val="22"/>
        </w:rPr>
      </w:pPr>
      <w:r>
        <w:rPr>
          <w:b/>
          <w:sz w:val="22"/>
        </w:rPr>
      </w:r>
    </w:p>
    <w:p>
      <w:pPr>
        <w:pStyle w:val="Normal"/>
        <w:rPr>
          <w:sz w:val="22"/>
        </w:rPr>
      </w:pPr>
      <w:r>
        <w:rPr>
          <w:b/>
          <w:sz w:val="22"/>
        </w:rPr>
        <w:t>DESIGNATED QUANTITY:</w:t>
      </w:r>
      <w:r>
        <w:rPr>
          <w:sz w:val="22"/>
        </w:rPr>
        <w:tab/>
        <w:tab/>
      </w:r>
      <w:r>
        <w:rPr>
          <w:sz w:val="22"/>
        </w:rPr>
        <w:fldChar w:fldCharType="begin"/>
      </w:r>
      <w:r>
        <w:rPr>
          <w:sz w:val="22"/>
        </w:rPr>
        <w:instrText xml:space="preserve"> MERGEFIELD QtyPerPeriod </w:instrText>
      </w:r>
      <w:r>
        <w:rPr>
          <w:sz w:val="22"/>
        </w:rPr>
        <w:fldChar w:fldCharType="separate"/>
      </w:r>
      <w:r>
        <w:rPr>
          <w:sz w:val="22"/>
        </w:rPr>
        <w:t>500 MMBtu per day</w:t>
      </w:r>
      <w:r>
        <w:rPr>
          <w:sz w:val="22"/>
        </w:rPr>
        <w:fldChar w:fldCharType="end"/>
      </w:r>
    </w:p>
    <w:p>
      <w:pPr>
        <w:pStyle w:val="Normal"/>
        <w:rPr>
          <w:b/>
          <w:sz w:val="22"/>
        </w:rPr>
      </w:pPr>
      <w:r>
        <w:rPr>
          <w:b/>
          <w:sz w:val="22"/>
        </w:rPr>
      </w:r>
    </w:p>
    <w:p>
      <w:pPr>
        <w:pStyle w:val="Normal"/>
        <w:rPr>
          <w:sz w:val="22"/>
        </w:rPr>
      </w:pPr>
      <w:r>
        <w:rPr>
          <w:b/>
          <w:sz w:val="22"/>
        </w:rPr>
        <w:t>DELIVERY POINT(S):</w:t>
      </w:r>
      <w:r>
        <w:rPr>
          <w:sz w:val="22"/>
        </w:rPr>
        <w:t xml:space="preserve">  </w:t>
        <w:tab/>
        <w:tab/>
      </w:r>
      <w:r>
        <w:rPr>
          <w:sz w:val="22"/>
        </w:rPr>
        <w:fldChar w:fldCharType="begin"/>
      </w:r>
      <w:r>
        <w:rPr>
          <w:sz w:val="22"/>
        </w:rPr>
        <w:instrText xml:space="preserve"> MERGEFIELD DeliveryPtName </w:instrText>
      </w:r>
      <w:r>
        <w:rPr>
          <w:sz w:val="22"/>
        </w:rPr>
        <w:fldChar w:fldCharType="separate"/>
      </w:r>
      <w:r>
        <w:rPr>
          <w:sz w:val="22"/>
        </w:rPr>
        <w:t>Texas Eastern Transmission, LP - M-3</w:t>
      </w:r>
      <w:r>
        <w:rPr>
          <w:sz w:val="22"/>
        </w:rPr>
        <w:fldChar w:fldCharType="end"/>
      </w:r>
    </w:p>
    <w:p>
      <w:pPr>
        <w:pStyle w:val="Normal"/>
        <w:rPr>
          <w:b/>
          <w:sz w:val="22"/>
        </w:rPr>
      </w:pPr>
      <w:r>
        <w:rPr>
          <w:b/>
          <w:sz w:val="22"/>
        </w:rPr>
      </w:r>
    </w:p>
    <w:p>
      <w:pPr>
        <w:pStyle w:val="Normal"/>
        <w:rPr>
          <w:sz w:val="22"/>
        </w:rPr>
      </w:pPr>
      <w:r>
        <w:rPr>
          <w:b/>
          <w:sz w:val="22"/>
        </w:rPr>
        <w:t>PERIOD OF DELIVERY:</w:t>
        <w:tab/>
      </w:r>
      <w:r>
        <w:rPr>
          <w:sz w:val="22"/>
        </w:rPr>
        <w:tab/>
      </w:r>
      <w:r>
        <w:rPr>
          <w:sz w:val="22"/>
        </w:rPr>
        <w:fldChar w:fldCharType="begin"/>
      </w:r>
      <w:r>
        <w:rPr>
          <w:sz w:val="22"/>
        </w:rPr>
        <w:instrText xml:space="preserve"> MERGEFIELD DeliveryPeriod </w:instrText>
      </w:r>
      <w:r>
        <w:rPr>
          <w:sz w:val="22"/>
        </w:rPr>
        <w:fldChar w:fldCharType="separate"/>
      </w:r>
      <w:r>
        <w:rPr>
          <w:sz w:val="22"/>
        </w:rPr>
        <w:t>November 01, 2001 through March 31, 2002</w:t>
      </w:r>
      <w:r>
        <w:rPr>
          <w:sz w:val="22"/>
        </w:rPr>
        <w:fldChar w:fldCharType="end"/>
      </w:r>
    </w:p>
    <w:p>
      <w:pPr>
        <w:pStyle w:val="Normal"/>
        <w:rPr>
          <w:sz w:val="22"/>
        </w:rPr>
      </w:pPr>
      <w:r>
        <w:rPr>
          <w:sz w:val="22"/>
        </w:rPr>
      </w:r>
    </w:p>
    <w:p>
      <w:pPr>
        <w:pStyle w:val="Normal"/>
        <w:rPr/>
      </w:pPr>
      <w:r>
        <w:rPr>
          <w:b/>
          <w:sz w:val="22"/>
        </w:rPr>
        <w:t>I.</w:t>
        <w:tab/>
        <w:t>CONTRACT PRICE (PER MMBTU):</w:t>
      </w:r>
      <w:r>
        <w:rPr>
          <w:sz w:val="22"/>
        </w:rPr>
        <w:tab/>
        <w:tab/>
        <w:t xml:space="preserve">   </w:t>
      </w:r>
    </w:p>
    <w:p>
      <w:pPr>
        <w:pStyle w:val="Normal"/>
        <w:ind w:hanging="720" w:start="720" w:end="0"/>
        <w:jc w:val="both"/>
        <w:rPr>
          <w:sz w:val="22"/>
        </w:rPr>
      </w:pPr>
      <w:r>
        <w:rPr>
          <w:sz w:val="22"/>
        </w:rPr>
        <w:tab/>
        <w:tab/>
        <w:t>The Contract Price per MMBtu each Month during the Period of Delivery for all quantities of gas shall be the "Fixed Basis Price."  The Fixed Basis Price for each of the Delivery Month(s) shall be a price equal to the sum of:</w:t>
      </w:r>
    </w:p>
    <w:p>
      <w:pPr>
        <w:pStyle w:val="Normal"/>
        <w:ind w:hanging="720" w:start="720" w:end="0"/>
        <w:jc w:val="both"/>
        <w:rPr>
          <w:sz w:val="22"/>
        </w:rPr>
      </w:pPr>
      <w:r>
        <w:rPr>
          <w:sz w:val="22"/>
        </w:rPr>
        <w:tab/>
        <w:t>(i)</w:t>
        <w:tab/>
        <w:t xml:space="preserve">the Average Settlement Price; </w:t>
      </w:r>
      <w:r>
        <w:rPr>
          <w:sz w:val="22"/>
        </w:rPr>
        <w:fldChar w:fldCharType="begin"/>
      </w:r>
      <w:r>
        <w:rPr>
          <w:sz w:val="22"/>
        </w:rPr>
        <w:instrText xml:space="preserve"> MERGEFIELD ContractPriceSign </w:instrText>
      </w:r>
      <w:r>
        <w:rPr>
          <w:sz w:val="22"/>
        </w:rPr>
        <w:fldChar w:fldCharType="separate"/>
      </w:r>
      <w:r>
        <w:rPr>
          <w:sz w:val="22"/>
        </w:rPr>
        <w:t>plus</w:t>
      </w:r>
      <w:r>
        <w:rPr>
          <w:sz w:val="22"/>
        </w:rPr>
        <w:fldChar w:fldCharType="end"/>
      </w:r>
    </w:p>
    <w:p>
      <w:pPr>
        <w:pStyle w:val="Normal"/>
        <w:ind w:hanging="720" w:start="720" w:end="0"/>
        <w:jc w:val="both"/>
        <w:rPr/>
      </w:pPr>
      <w:r>
        <w:rPr>
          <w:sz w:val="22"/>
        </w:rPr>
        <w:tab/>
        <w:t>(ii)</w:t>
        <w:tab/>
        <w:t xml:space="preserve">The Fixed Basis Adjustment of </w:t>
      </w:r>
      <w:r>
        <w:rPr>
          <w:sz w:val="22"/>
        </w:rPr>
        <w:fldChar w:fldCharType="begin"/>
      </w:r>
      <w:r>
        <w:rPr>
          <w:sz w:val="22"/>
        </w:rPr>
        <w:instrText xml:space="preserve"> MERGEFIELD ContractPrice </w:instrText>
      </w:r>
      <w:r>
        <w:rPr>
          <w:sz w:val="22"/>
        </w:rPr>
        <w:fldChar w:fldCharType="separate"/>
      </w:r>
      <w:r>
        <w:rPr>
          <w:sz w:val="22"/>
        </w:rPr>
        <w:t>US Dollars $0.98500 per MMBtu</w:t>
      </w:r>
      <w:r>
        <w:rPr>
          <w:sz w:val="22"/>
        </w:rPr>
        <w:fldChar w:fldCharType="end"/>
      </w:r>
      <w:r>
        <w:rPr>
          <w:sz w:val="22"/>
        </w:rPr>
        <w:t>.</w:t>
      </w:r>
    </w:p>
    <w:p>
      <w:pPr>
        <w:pStyle w:val="Normal"/>
        <w:ind w:hanging="720" w:start="720" w:end="0"/>
        <w:rPr>
          <w:sz w:val="22"/>
        </w:rPr>
      </w:pPr>
      <w:r>
        <w:rPr>
          <w:sz w:val="22"/>
        </w:rPr>
      </w:r>
    </w:p>
    <w:p>
      <w:pPr>
        <w:pStyle w:val="Normal"/>
        <w:rPr/>
      </w:pPr>
      <w:r>
        <w:rPr>
          <w:b/>
          <w:sz w:val="22"/>
        </w:rPr>
        <w:t>II.</w:t>
        <w:tab/>
        <w:t>CERTAIN DEFINITIONS.</w:t>
      </w:r>
      <w:r>
        <w:rPr>
          <w:sz w:val="22"/>
        </w:rPr>
        <w:t xml:space="preserve">  As used herein:</w:t>
      </w:r>
    </w:p>
    <w:p>
      <w:pPr>
        <w:pStyle w:val="Normal"/>
        <w:ind w:hanging="720" w:start="720" w:end="0"/>
        <w:jc w:val="both"/>
        <w:rPr/>
      </w:pPr>
      <w:r>
        <w:rPr>
          <w:sz w:val="22"/>
        </w:rPr>
        <w:tab/>
        <w:tab/>
        <w:t xml:space="preserve">"Average Settlement Price" means a price agreed to by the Parties on the basis of the NYMEX Henry Hub gas futures contracts then trading for the applicable Delivery Month (the "Strike Price"), or if no such price is agreed prior to the NYMEX Deadline of the applicable Delivery Month, a price equal to </w:t>
      </w:r>
      <w:r>
        <w:rPr>
          <w:sz w:val="22"/>
        </w:rPr>
        <w:fldChar w:fldCharType="begin"/>
      </w:r>
      <w:r>
        <w:rPr>
          <w:sz w:val="22"/>
        </w:rPr>
        <w:instrText xml:space="preserve"> MERGEFIELD AverageSettlementPriceHH </w:instrText>
      </w:r>
      <w:r>
        <w:rPr>
          <w:sz w:val="22"/>
        </w:rPr>
        <w:fldChar w:fldCharType="separate"/>
      </w:r>
      <w:r>
        <w:rPr>
          <w:sz w:val="22"/>
        </w:rPr>
        <w:t>the settlement price of the NYMEX Henry Hub gas futures contract for the last Trading Day</w:t>
      </w:r>
      <w:r>
        <w:rPr>
          <w:sz w:val="22"/>
        </w:rPr>
        <w:fldChar w:fldCharType="end"/>
      </w:r>
      <w:r>
        <w:rPr>
          <w:sz w:val="22"/>
        </w:rPr>
        <w:t xml:space="preserve"> of the applicable Delivery Month.</w:t>
      </w:r>
    </w:p>
    <w:p>
      <w:pPr>
        <w:pStyle w:val="Normal"/>
        <w:ind w:hanging="720" w:start="720" w:end="0"/>
        <w:jc w:val="both"/>
        <w:rPr/>
      </w:pPr>
      <w:r>
        <w:rPr>
          <w:sz w:val="22"/>
        </w:rPr>
        <w:tab/>
        <w:tab/>
        <w:t xml:space="preserve">"NYMEX Deadline" means 12:00 p.m. C.T. of the </w:t>
      </w:r>
      <w:r>
        <w:rPr>
          <w:sz w:val="22"/>
        </w:rPr>
        <w:fldChar w:fldCharType="begin"/>
      </w:r>
      <w:r>
        <w:rPr>
          <w:sz w:val="22"/>
        </w:rPr>
        <w:instrText xml:space="preserve"> MERGEFIELD NYMEXDeadline </w:instrText>
      </w:r>
      <w:r>
        <w:rPr>
          <w:sz w:val="22"/>
        </w:rPr>
        <w:fldChar w:fldCharType="separate"/>
      </w:r>
      <w:r>
        <w:rPr>
          <w:sz w:val="22"/>
        </w:rPr>
        <w:t>last Trading Day</w:t>
      </w:r>
      <w:r>
        <w:rPr>
          <w:sz w:val="22"/>
        </w:rPr>
        <w:fldChar w:fldCharType="end"/>
      </w:r>
      <w:r>
        <w:rPr>
          <w:sz w:val="22"/>
        </w:rPr>
        <w:t xml:space="preserve"> of a NYMEX gas futures contract for the applicable Delivery Month.</w:t>
      </w:r>
    </w:p>
    <w:p>
      <w:pPr>
        <w:pStyle w:val="Normal"/>
        <w:ind w:hanging="720" w:start="720" w:end="0"/>
        <w:jc w:val="both"/>
        <w:rPr>
          <w:sz w:val="22"/>
        </w:rPr>
      </w:pPr>
      <w:r>
        <w:rPr>
          <w:sz w:val="22"/>
        </w:rPr>
        <w:tab/>
        <w:tab/>
        <w:t>"Trading Day" means any Day for which a NYMEX gas futures contract is determinable.</w:t>
      </w:r>
      <w:r>
        <w:br w:type="page"/>
      </w:r>
    </w:p>
    <w:p>
      <w:pPr>
        <w:pStyle w:val="Normal"/>
        <w:rPr>
          <w:sz w:val="22"/>
        </w:rPr>
      </w:pPr>
      <w:r>
        <w:rPr>
          <w:sz w:val="22"/>
        </w:rPr>
      </w:r>
    </w:p>
    <w:p>
      <w:pPr>
        <w:pStyle w:val="Normal"/>
        <w:rPr>
          <w:sz w:val="22"/>
        </w:rPr>
      </w:pPr>
      <w:r>
        <w:rPr>
          <w:b/>
          <w:sz w:val="22"/>
        </w:rPr>
        <w:t>III.</w:t>
        <w:tab/>
        <w:t>RIGHT TO DESIGNATE A STRIKE PRICE.</w:t>
      </w:r>
    </w:p>
    <w:p>
      <w:pPr>
        <w:pStyle w:val="Normal"/>
        <w:ind w:hanging="720" w:start="720" w:end="0"/>
        <w:jc w:val="both"/>
        <w:rPr/>
      </w:pPr>
      <w:r>
        <w:rPr>
          <w:sz w:val="22"/>
        </w:rPr>
        <w:tab/>
        <w:tab/>
        <w:t xml:space="preserve">Customer may request a Strike Price by contacting </w:t>
      </w:r>
      <w:r>
        <w:rPr>
          <w:sz w:val="22"/>
        </w:rPr>
        <w:fldChar w:fldCharType="begin"/>
      </w:r>
      <w:r>
        <w:rPr>
          <w:sz w:val="22"/>
        </w:rPr>
        <w:instrText xml:space="preserve"> MERGEFIELD EnronEntityCode </w:instrText>
      </w:r>
      <w:r>
        <w:rPr>
          <w:sz w:val="22"/>
        </w:rPr>
        <w:fldChar w:fldCharType="separate"/>
      </w:r>
      <w:r>
        <w:rPr>
          <w:sz w:val="22"/>
        </w:rPr>
        <w:t>ENA</w:t>
      </w:r>
      <w:r>
        <w:rPr>
          <w:sz w:val="22"/>
        </w:rPr>
        <w:fldChar w:fldCharType="end"/>
      </w:r>
      <w:r>
        <w:rPr>
          <w:sz w:val="22"/>
        </w:rPr>
        <w:t xml:space="preserve">, in a telephone conversation which may be recorded occurring between the hours of 8:00 a.m. and 5:00 p.m. C.T. requesting any such Strike Price for a Delivery Month(s) for which the price is desired; provided, any such request by Customer must be made no later than the NYMEX Deadline.  Any recorded offer and acceptance (the "Recorded Agreement") shall constitute the agreement by which the Parties are legally bound and the means by which the Parties are identified and authenticate a Transaction.  In addition, but not in lieu of the Recorded Agreement, </w:t>
      </w:r>
      <w:r>
        <w:rPr>
          <w:sz w:val="22"/>
        </w:rPr>
        <w:fldChar w:fldCharType="begin"/>
      </w:r>
      <w:r>
        <w:rPr>
          <w:sz w:val="22"/>
        </w:rPr>
        <w:instrText xml:space="preserve"> MERGEFIELD EnronEntityCode </w:instrText>
      </w:r>
      <w:r>
        <w:rPr>
          <w:sz w:val="22"/>
        </w:rPr>
        <w:fldChar w:fldCharType="separate"/>
      </w:r>
      <w:r>
        <w:rPr>
          <w:sz w:val="22"/>
        </w:rPr>
        <w:t>ENA</w:t>
      </w:r>
      <w:r>
        <w:rPr>
          <w:sz w:val="22"/>
        </w:rPr>
        <w:fldChar w:fldCharType="end"/>
      </w:r>
      <w:r>
        <w:rPr>
          <w:sz w:val="22"/>
        </w:rPr>
        <w:t xml:space="preserve"> may thereafter send a facsimile to Customer which confirms the Recorded Agreement (the "Strike Price Election Notice") in a form adequate at law, an example of which is attached hereto as Annex "A."  The Parties agree that any objections to the contents of the Strike Price Election Notice confirmation shall be made in writing within 24 hours for all purposes hereunder and at law.  Each Recorded Agreement and, as available, each Strike Price Election Notice shall form a part of the  Agreement for all purposes. The Parties agree not to contest or assert a defense to the validity or enforceability of any Recorded Agreement entered into in accordance herewith under laws relating to whether certain agreements are to be in writing or signed by the Party to be thereby bound or the authority of any employee to enter into the Recorded Agreement.</w:t>
      </w:r>
    </w:p>
    <w:p>
      <w:pPr>
        <w:pStyle w:val="Normal"/>
        <w:ind w:hanging="720" w:start="720" w:end="0"/>
        <w:jc w:val="both"/>
        <w:rPr>
          <w:sz w:val="22"/>
        </w:rPr>
      </w:pPr>
      <w:r>
        <w:rPr>
          <w:sz w:val="22"/>
        </w:rPr>
        <w:tab/>
        <w:tab/>
        <w:t>A Strike Price may not be converted to another price during the Delivery Months for which it has been elected.</w:t>
      </w:r>
    </w:p>
    <w:p>
      <w:pPr>
        <w:pStyle w:val="Normal"/>
        <w:rPr>
          <w:sz w:val="22"/>
        </w:rPr>
      </w:pPr>
      <w:r>
        <w:rPr>
          <w:sz w:val="22"/>
        </w:rPr>
      </w:r>
    </w:p>
    <w:p>
      <w:pPr>
        <w:pStyle w:val="Normal"/>
        <w:rPr>
          <w:b/>
          <w:sz w:val="22"/>
        </w:rPr>
      </w:pPr>
      <w:r>
        <w:rPr>
          <w:b/>
          <w:sz w:val="22"/>
        </w:rPr>
        <w:t>NOTICE AND COMMUNICATION TO COMPANY, AS FOLLOWS:</w:t>
      </w:r>
    </w:p>
    <w:p>
      <w:pPr>
        <w:pStyle w:val="Normal"/>
        <w:rPr>
          <w:b/>
          <w:sz w:val="22"/>
        </w:rPr>
      </w:pPr>
      <w:r>
        <w:rPr>
          <w:b/>
          <w:sz w:val="22"/>
        </w:rPr>
        <w:t>NOTICE TO COMPANY:</w:t>
      </w:r>
    </w:p>
    <w:p>
      <w:pPr>
        <w:pStyle w:val="Normal"/>
        <w:rPr>
          <w:sz w:val="22"/>
        </w:rPr>
      </w:pPr>
      <w:r>
        <w:rPr>
          <w:sz w:val="22"/>
        </w:rPr>
        <w:t>P.O. Box 4428</w:t>
      </w:r>
    </w:p>
    <w:p>
      <w:pPr>
        <w:pStyle w:val="Normal"/>
        <w:rPr>
          <w:sz w:val="22"/>
        </w:rPr>
      </w:pPr>
      <w:r>
        <w:rPr>
          <w:sz w:val="22"/>
        </w:rPr>
        <w:t>Houston, Texas 77210-4428</w:t>
      </w:r>
    </w:p>
    <w:p>
      <w:pPr>
        <w:pStyle w:val="Normal"/>
        <w:rPr>
          <w:sz w:val="22"/>
        </w:rPr>
      </w:pPr>
      <w:r>
        <w:rPr>
          <w:sz w:val="22"/>
        </w:rPr>
        <w:t>Attn: Documentation and Deal Clearing Desk</w:t>
      </w:r>
    </w:p>
    <w:p>
      <w:pPr>
        <w:pStyle w:val="Normal"/>
        <w:rPr>
          <w:sz w:val="22"/>
        </w:rPr>
      </w:pPr>
      <w:r>
        <w:rPr>
          <w:sz w:val="22"/>
        </w:rPr>
        <w:t>Facsimile No. (713) 646-4816</w:t>
      </w:r>
    </w:p>
    <w:p>
      <w:pPr>
        <w:pStyle w:val="Normal"/>
        <w:rPr>
          <w:sz w:val="22"/>
        </w:rPr>
      </w:pPr>
      <w:r>
        <w:rPr>
          <w:sz w:val="22"/>
        </w:rPr>
        <w:t>Termination Notice Facsimile No. (713) 646-4816</w:t>
      </w:r>
    </w:p>
    <w:p>
      <w:pPr>
        <w:pStyle w:val="Normal"/>
        <w:rPr>
          <w:b/>
          <w:sz w:val="22"/>
        </w:rPr>
      </w:pPr>
      <w:r>
        <w:rPr>
          <w:b/>
          <w:sz w:val="22"/>
        </w:rPr>
        <w:t>INVOICES/CORRESPONDENCE:</w:t>
      </w:r>
    </w:p>
    <w:p>
      <w:pPr>
        <w:pStyle w:val="Normal"/>
        <w:rPr>
          <w:sz w:val="22"/>
        </w:rPr>
      </w:pPr>
      <w:r>
        <w:rPr>
          <w:sz w:val="22"/>
        </w:rPr>
        <w:t>P.O. Box 4428</w:t>
      </w:r>
    </w:p>
    <w:p>
      <w:pPr>
        <w:pStyle w:val="Normal"/>
        <w:rPr>
          <w:sz w:val="22"/>
        </w:rPr>
      </w:pPr>
      <w:r>
        <w:rPr>
          <w:sz w:val="22"/>
        </w:rPr>
        <w:t>Houston, Texas 77210-4428</w:t>
      </w:r>
    </w:p>
    <w:p>
      <w:pPr>
        <w:pStyle w:val="Normal"/>
        <w:rPr>
          <w:sz w:val="22"/>
        </w:rPr>
      </w:pPr>
      <w:r>
        <w:rPr>
          <w:sz w:val="22"/>
        </w:rPr>
        <w:t>Attn: Client Services</w:t>
      </w:r>
    </w:p>
    <w:p>
      <w:pPr>
        <w:pStyle w:val="Normal"/>
        <w:rPr>
          <w:sz w:val="22"/>
        </w:rPr>
      </w:pPr>
      <w:r>
        <w:rPr>
          <w:sz w:val="22"/>
        </w:rPr>
        <w:t>Facsimile No. (713) 646-8420</w:t>
      </w:r>
    </w:p>
    <w:p>
      <w:pPr>
        <w:pStyle w:val="Normal"/>
        <w:rPr>
          <w:b/>
          <w:sz w:val="22"/>
        </w:rPr>
      </w:pPr>
      <w:r>
        <w:rPr>
          <w:b/>
          <w:sz w:val="22"/>
        </w:rPr>
        <w:t>PAYMENTS:</w:t>
      </w:r>
    </w:p>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rPr>
          <w:sz w:val="22"/>
        </w:rPr>
      </w:pPr>
      <w:r>
        <w:rPr>
          <w:sz w:val="22"/>
        </w:rPr>
        <w:t>ABA Routing 111000012 / Bank of America / Account 3750494099</w:t>
      </w:r>
    </w:p>
    <w:p>
      <w:pPr>
        <w:pStyle w:val="Normal"/>
        <w:rPr>
          <w:b/>
          <w:sz w:val="22"/>
        </w:rPr>
      </w:pPr>
      <w:r>
        <w:rPr>
          <w:b/>
          <w:sz w:val="22"/>
        </w:rPr>
        <w:t>NOMINATIONS TO COMPANY:</w:t>
      </w:r>
    </w:p>
    <w:p>
      <w:pPr>
        <w:pStyle w:val="Normal"/>
        <w:rPr>
          <w:sz w:val="22"/>
        </w:rPr>
      </w:pPr>
      <w:r>
        <w:rPr>
          <w:sz w:val="22"/>
        </w:rPr>
        <w:t>1(800)356-9427/1(800)FLOWGAS</w:t>
      </w:r>
    </w:p>
    <w:p>
      <w:pPr>
        <w:pStyle w:val="Normal"/>
        <w:rPr>
          <w:b/>
          <w:sz w:val="22"/>
        </w:rPr>
      </w:pPr>
      <w:r>
        <w:rPr>
          <w:b/>
          <w:sz w:val="22"/>
        </w:rPr>
        <w:t>SCHEDULING CONFIRMATIONS TO COMPANY:</w:t>
      </w:r>
    </w:p>
    <w:p>
      <w:pPr>
        <w:pStyle w:val="Normal"/>
        <w:rPr/>
      </w:pPr>
      <w:r>
        <w:rPr>
          <w:sz w:val="22"/>
        </w:rPr>
        <w:t xml:space="preserve">Attn: </w:t>
      </w:r>
      <w:r>
        <w:rPr>
          <w:sz w:val="22"/>
        </w:rPr>
        <w:fldChar w:fldCharType="begin"/>
      </w:r>
      <w:r>
        <w:rPr>
          <w:sz w:val="22"/>
        </w:rPr>
        <w:instrText xml:space="preserve"> MERGEFIELD EnronEntityCode </w:instrText>
      </w:r>
      <w:r>
        <w:rPr>
          <w:sz w:val="22"/>
        </w:rPr>
        <w:fldChar w:fldCharType="separate"/>
      </w:r>
      <w:r>
        <w:rPr>
          <w:sz w:val="22"/>
        </w:rPr>
        <w:t>ENA</w:t>
      </w:r>
      <w:r>
        <w:rPr>
          <w:sz w:val="22"/>
        </w:rPr>
        <w:fldChar w:fldCharType="end"/>
      </w:r>
      <w:r>
        <w:rPr>
          <w:sz w:val="22"/>
        </w:rPr>
        <w:t xml:space="preserve"> Gas Trading</w:t>
      </w:r>
    </w:p>
    <w:p>
      <w:pPr>
        <w:pStyle w:val="Normal"/>
        <w:rPr>
          <w:sz w:val="22"/>
        </w:rPr>
      </w:pPr>
      <w:r>
        <w:rPr>
          <w:sz w:val="22"/>
        </w:rPr>
        <w:t>Facsimile No.: (713) 646-2531</w:t>
      </w:r>
    </w:p>
    <w:p>
      <w:pPr>
        <w:pStyle w:val="Normal"/>
        <w:jc w:val="both"/>
        <w:rPr>
          <w:sz w:val="22"/>
        </w:rPr>
      </w:pPr>
      <w:r>
        <w:rPr>
          <w:sz w:val="22"/>
        </w:rPr>
      </w:r>
    </w:p>
    <w:p>
      <w:pPr>
        <w:pStyle w:val="Normal"/>
        <w:jc w:val="both"/>
        <w:rPr>
          <w:sz w:val="22"/>
        </w:rPr>
      </w:pPr>
      <w:r>
        <w:rPr>
          <w:sz w:val="22"/>
        </w:rPr>
        <w:t xml:space="preserve">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r>
    </w:p>
    <w:p>
      <w:pPr>
        <w:pStyle w:val="Normal"/>
        <w:jc w:val="both"/>
        <w:rPr>
          <w:sz w:val="22"/>
        </w:rPr>
      </w:pPr>
      <w:r>
        <w:rPr>
          <w:sz w:val="22"/>
        </w:rPr>
        <w:t xml:space="preserve"> </w:t>
      </w:r>
    </w:p>
    <w:p>
      <w:pPr>
        <w:pStyle w:val="Normal"/>
        <w:jc w:val="both"/>
        <w:rPr>
          <w:sz w:val="22"/>
        </w:rPr>
      </w:pPr>
      <w:r>
        <w:rPr>
          <w:sz w:val="22"/>
        </w:rPr>
        <w:t>This Confirmation is being provided pursuant to and in accordance with the ENFOLIO FIRM GENERAL TERMS &amp; CONDITIONS (the "Firm GTC") and constitutes part of and is subject to all of the provisions of the Firm GTC.  Company does hereby adopt its letterhead, including its address, as its signature in respect of the identification of Company and the authentication by Company of this Confirmation.  Any objection of Counterparty to this Confirmation must be made by written notice to Company within 10 days receipt of same.</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jc w:val="both"/>
        <w:rPr>
          <w:sz w:val="22"/>
        </w:rPr>
      </w:pPr>
      <w:r>
        <w:rPr>
          <w:sz w:val="22"/>
        </w:rPr>
      </w:r>
    </w:p>
    <w:p>
      <w:pPr>
        <w:pStyle w:val="Normal"/>
        <w:jc w:val="both"/>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jc w:val="both"/>
        <w:rPr>
          <w:sz w:val="22"/>
        </w:rPr>
      </w:pPr>
      <w:r>
        <w:rPr>
          <w:sz w:val="22"/>
        </w:rPr>
      </w:r>
    </w:p>
    <w:p>
      <w:pPr>
        <w:pStyle w:val="Normal"/>
        <w:jc w:val="both"/>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r>
        <w:br w:type="page"/>
      </w:r>
    </w:p>
    <w:p>
      <w:pPr>
        <w:pStyle w:val="Normal"/>
        <w:jc w:val="both"/>
        <w:rPr>
          <w:sz w:val="22"/>
        </w:rPr>
      </w:pPr>
      <w:r>
        <w:rPr>
          <w:sz w:val="22"/>
        </w:rPr>
      </w:r>
    </w:p>
    <w:p>
      <w:pPr>
        <w:pStyle w:val="Normal"/>
        <w:jc w:val="both"/>
        <w:rPr>
          <w:sz w:val="22"/>
        </w:rPr>
      </w:pPr>
      <w:r>
        <w:rPr>
          <w:sz w:val="22"/>
        </w:rPr>
      </w:r>
    </w:p>
    <w:p>
      <w:pPr>
        <w:pStyle w:val="Normal"/>
        <w:jc w:val="center"/>
        <w:rPr>
          <w:b/>
          <w:sz w:val="22"/>
          <w:u w:val="single"/>
        </w:rPr>
      </w:pPr>
      <w:r>
        <w:rPr>
          <w:b/>
          <w:sz w:val="22"/>
          <w:u w:val="single"/>
        </w:rPr>
        <w:t>ANNEX "A"</w:t>
      </w:r>
    </w:p>
    <w:p>
      <w:pPr>
        <w:pStyle w:val="Normal"/>
        <w:jc w:val="center"/>
        <w:rPr/>
      </w:pPr>
      <w:r>
        <w:rPr>
          <w:b/>
          <w:sz w:val="22"/>
          <w:u w:val="single"/>
        </w:rPr>
        <w:tab/>
        <w:tab/>
        <w:tab/>
        <w:tab/>
        <w:tab/>
        <w:tab/>
      </w:r>
      <w:r>
        <w:rPr>
          <w:b/>
          <w:sz w:val="22"/>
        </w:rPr>
        <w:t xml:space="preserve">                                                        </w:t>
      </w:r>
    </w:p>
    <w:p>
      <w:pPr>
        <w:pStyle w:val="Normal"/>
        <w:jc w:val="center"/>
        <w:rPr>
          <w:b/>
          <w:sz w:val="22"/>
        </w:rPr>
      </w:pPr>
      <w:r>
        <w:rPr>
          <w:b/>
          <w:sz w:val="22"/>
        </w:rPr>
        <w:t xml:space="preserve">EXAMPLE FORM OF </w:t>
      </w:r>
    </w:p>
    <w:p>
      <w:pPr>
        <w:pStyle w:val="Normal"/>
        <w:jc w:val="center"/>
        <w:rPr>
          <w:b/>
          <w:sz w:val="22"/>
        </w:rPr>
      </w:pPr>
      <w:r>
        <w:rPr>
          <w:b/>
          <w:sz w:val="22"/>
        </w:rPr>
        <w:t>STRIKE PRICE ELECTION NOTICE</w:t>
      </w:r>
    </w:p>
    <w:p>
      <w:pPr>
        <w:pStyle w:val="Normal"/>
        <w:jc w:val="center"/>
        <w:rPr>
          <w:sz w:val="22"/>
        </w:rPr>
      </w:pPr>
      <w:r>
        <w:rPr>
          <w:sz w:val="22"/>
        </w:rPr>
        <w:t>Letterhead with Address</w:t>
      </w:r>
    </w:p>
    <w:p>
      <w:pPr>
        <w:pStyle w:val="Normal"/>
        <w:rPr>
          <w:sz w:val="22"/>
        </w:rPr>
      </w:pPr>
      <w:r>
        <w:rPr>
          <w:sz w:val="22"/>
        </w:rPr>
      </w:r>
    </w:p>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Co-Steel Inc.</w:t>
      </w:r>
      <w:r>
        <w:rPr>
          <w:sz w:val="22"/>
        </w:rPr>
        <w:fldChar w:fldCharType="end"/>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RE:</w:t>
        <w:tab/>
        <w:t>STRIKE PRICE ELECTION NOTICE</w:t>
      </w:r>
    </w:p>
    <w:p>
      <w:pPr>
        <w:pStyle w:val="Normal"/>
        <w:rPr>
          <w:sz w:val="22"/>
        </w:rPr>
      </w:pPr>
      <w:r>
        <w:rPr>
          <w:sz w:val="22"/>
        </w:rPr>
      </w:r>
    </w:p>
    <w:p>
      <w:pPr>
        <w:pStyle w:val="Normal"/>
        <w:jc w:val="both"/>
        <w:rPr/>
      </w:pPr>
      <w:r>
        <w:rPr>
          <w:sz w:val="22"/>
        </w:rPr>
        <w:tab/>
        <w:t xml:space="preserve">In accordance with the terms and conditions of the Confirmation  Letter dated </w:t>
      </w:r>
      <w:r>
        <w:rPr>
          <w:sz w:val="22"/>
        </w:rPr>
        <w:fldChar w:fldCharType="begin"/>
      </w:r>
      <w:r>
        <w:rPr>
          <w:sz w:val="22"/>
        </w:rPr>
        <w:instrText xml:space="preserve"> MERGEFIELD DateToday </w:instrText>
      </w:r>
      <w:r>
        <w:rPr>
          <w:sz w:val="22"/>
        </w:rPr>
        <w:fldChar w:fldCharType="separate"/>
      </w:r>
      <w:r>
        <w:rPr>
          <w:sz w:val="22"/>
        </w:rPr>
        <w:t>October 25, 2001</w:t>
      </w:r>
      <w:r>
        <w:rPr>
          <w:sz w:val="22"/>
        </w:rPr>
        <w:fldChar w:fldCharType="end"/>
      </w:r>
      <w:r>
        <w:rPr>
          <w:sz w:val="22"/>
        </w:rPr>
        <w:t xml:space="preserve">, and the Enfolio Firm General Terms &amp; Conditions, </w:t>
      </w:r>
      <w:r>
        <w:rPr>
          <w:sz w:val="22"/>
        </w:rPr>
        <w:fldChar w:fldCharType="begin"/>
      </w:r>
      <w:r>
        <w:rPr>
          <w:sz w:val="22"/>
        </w:rPr>
        <w:instrText xml:space="preserve"> MERGEFIELD CounterpartyName </w:instrText>
      </w:r>
      <w:r>
        <w:rPr>
          <w:sz w:val="22"/>
        </w:rPr>
        <w:fldChar w:fldCharType="separate"/>
      </w:r>
      <w:r>
        <w:rPr>
          <w:sz w:val="22"/>
        </w:rPr>
        <w:t>Co-Steel Inc.</w:t>
      </w:r>
      <w:r>
        <w:rPr>
          <w:sz w:val="22"/>
        </w:rPr>
        <w:fldChar w:fldCharType="end"/>
      </w:r>
      <w:r>
        <w:rPr>
          <w:sz w:val="22"/>
        </w:rPr>
        <w:t xml:space="preserve"> ("Customer") and </w:t>
      </w: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r>
        <w:rPr>
          <w:sz w:val="22"/>
        </w:rPr>
        <w:t xml:space="preserve"> ("</w:t>
      </w:r>
      <w:r>
        <w:rPr>
          <w:sz w:val="22"/>
        </w:rPr>
        <w:fldChar w:fldCharType="begin"/>
      </w:r>
      <w:r>
        <w:rPr>
          <w:sz w:val="22"/>
        </w:rPr>
        <w:instrText xml:space="preserve"> MERGEFIELD EnronEntityCode </w:instrText>
      </w:r>
      <w:r>
        <w:rPr>
          <w:sz w:val="22"/>
        </w:rPr>
        <w:fldChar w:fldCharType="separate"/>
      </w:r>
      <w:r>
        <w:rPr>
          <w:sz w:val="22"/>
        </w:rPr>
        <w:t>ENA</w:t>
      </w:r>
      <w:r>
        <w:rPr>
          <w:sz w:val="22"/>
        </w:rPr>
        <w:fldChar w:fldCharType="end"/>
      </w:r>
      <w:r>
        <w:rPr>
          <w:sz w:val="22"/>
        </w:rPr>
        <w:t xml:space="preserve">" and "Company") confirm a Strike Price in accordance with the following. </w:t>
      </w:r>
      <w:r>
        <w:rPr>
          <w:sz w:val="22"/>
        </w:rPr>
        <w:fldChar w:fldCharType="begin"/>
      </w:r>
      <w:r>
        <w:rPr>
          <w:sz w:val="22"/>
        </w:rPr>
        <w:instrText xml:space="preserve"> MERGEFIELD Buyer </w:instrText>
      </w:r>
      <w:r>
        <w:rPr>
          <w:sz w:val="22"/>
        </w:rPr>
        <w:fldChar w:fldCharType="separate"/>
      </w:r>
      <w:r>
        <w:rPr>
          <w:sz w:val="22"/>
        </w:rPr>
        <w:t>Customer</w:t>
      </w:r>
      <w:r>
        <w:rPr>
          <w:sz w:val="22"/>
        </w:rPr>
        <w:fldChar w:fldCharType="end"/>
      </w:r>
      <w:r>
        <w:rPr>
          <w:sz w:val="22"/>
        </w:rPr>
        <w:t xml:space="preserve"> to purchase and receive ("Buyer") and </w:t>
      </w:r>
      <w:r>
        <w:rPr>
          <w:sz w:val="22"/>
        </w:rPr>
        <w:fldChar w:fldCharType="begin"/>
      </w:r>
      <w:r>
        <w:rPr>
          <w:sz w:val="22"/>
        </w:rPr>
        <w:instrText xml:space="preserve"> MERGEFIELD Seller </w:instrText>
      </w:r>
      <w:r>
        <w:rPr>
          <w:sz w:val="22"/>
        </w:rPr>
        <w:fldChar w:fldCharType="separate"/>
      </w:r>
      <w:r>
        <w:rPr>
          <w:sz w:val="22"/>
        </w:rPr>
        <w:t>Company</w:t>
      </w:r>
      <w:r>
        <w:rPr>
          <w:sz w:val="22"/>
        </w:rPr>
        <w:fldChar w:fldCharType="end"/>
      </w:r>
      <w:r>
        <w:rPr>
          <w:sz w:val="22"/>
        </w:rPr>
        <w:t xml:space="preserve"> to sell and deliver ("Seller").</w:t>
      </w:r>
    </w:p>
    <w:p>
      <w:pPr>
        <w:pStyle w:val="Normal"/>
        <w:rPr>
          <w:sz w:val="22"/>
        </w:rPr>
      </w:pPr>
      <w:r>
        <w:rPr>
          <w:sz w:val="22"/>
        </w:rPr>
      </w:r>
    </w:p>
    <w:p>
      <w:pPr>
        <w:pStyle w:val="Normal"/>
        <w:rPr>
          <w:sz w:val="22"/>
        </w:rPr>
      </w:pPr>
      <w:r>
        <w:rPr>
          <w:sz w:val="22"/>
        </w:rPr>
      </w:r>
    </w:p>
    <w:p>
      <w:pPr>
        <w:pStyle w:val="Normal"/>
        <w:rPr/>
      </w:pPr>
      <w:r>
        <w:rPr>
          <w:sz w:val="22"/>
        </w:rPr>
        <w:tab/>
        <w:tab/>
        <w:t>Transaction Number:</w:t>
        <w:tab/>
        <w:tab/>
      </w:r>
      <w:r>
        <w:rPr>
          <w:sz w:val="22"/>
          <w:u w:val="single"/>
        </w:rPr>
        <w:tab/>
        <w:tab/>
        <w:tab/>
        <w:tab/>
      </w:r>
      <w:r>
        <w:rPr>
          <w:sz w:val="22"/>
        </w:rPr>
        <w:t xml:space="preserve">                                                 </w:t>
      </w:r>
    </w:p>
    <w:p>
      <w:pPr>
        <w:pStyle w:val="Normal"/>
        <w:rPr>
          <w:sz w:val="22"/>
        </w:rPr>
      </w:pPr>
      <w:r>
        <w:rPr>
          <w:sz w:val="22"/>
        </w:rPr>
      </w:r>
    </w:p>
    <w:p>
      <w:pPr>
        <w:pStyle w:val="Normal"/>
        <w:rPr/>
      </w:pPr>
      <w:r>
        <w:rPr>
          <w:sz w:val="22"/>
        </w:rPr>
        <w:tab/>
        <w:tab/>
        <w:t>Delivery Month(s):</w:t>
        <w:tab/>
        <w:tab/>
      </w:r>
      <w:r>
        <w:rPr>
          <w:sz w:val="22"/>
          <w:u w:val="single"/>
        </w:rPr>
        <w:tab/>
        <w:tab/>
        <w:tab/>
        <w:tab/>
      </w:r>
      <w:r>
        <w:rPr>
          <w:sz w:val="22"/>
        </w:rPr>
        <w:tab/>
        <w:tab/>
        <w:t xml:space="preserve">                                                 </w:t>
      </w:r>
    </w:p>
    <w:p>
      <w:pPr>
        <w:pStyle w:val="Normal"/>
        <w:rPr>
          <w:sz w:val="22"/>
        </w:rPr>
      </w:pPr>
      <w:r>
        <w:rPr>
          <w:sz w:val="22"/>
        </w:rPr>
      </w:r>
    </w:p>
    <w:p>
      <w:pPr>
        <w:pStyle w:val="Normal"/>
        <w:rPr/>
      </w:pPr>
      <w:r>
        <w:rPr>
          <w:sz w:val="22"/>
        </w:rPr>
        <w:tab/>
        <w:tab/>
        <w:t>Quantity:</w:t>
        <w:tab/>
        <w:tab/>
        <w:tab/>
      </w:r>
      <w:r>
        <w:rPr>
          <w:sz w:val="22"/>
          <w:u w:val="single"/>
        </w:rPr>
        <w:tab/>
        <w:tab/>
        <w:tab/>
        <w:tab/>
      </w:r>
      <w:r>
        <w:rPr>
          <w:sz w:val="22"/>
        </w:rPr>
        <w:tab/>
        <w:t xml:space="preserve">                                                 </w:t>
      </w:r>
    </w:p>
    <w:p>
      <w:pPr>
        <w:pStyle w:val="Normal"/>
        <w:rPr>
          <w:sz w:val="22"/>
        </w:rPr>
      </w:pPr>
      <w:r>
        <w:rPr>
          <w:sz w:val="22"/>
        </w:rPr>
      </w:r>
    </w:p>
    <w:p>
      <w:pPr>
        <w:pStyle w:val="Normal"/>
        <w:rPr/>
      </w:pPr>
      <w:r>
        <w:rPr>
          <w:sz w:val="22"/>
        </w:rPr>
        <w:tab/>
        <w:tab/>
        <w:t>Strike Date:</w:t>
        <w:tab/>
        <w:tab/>
        <w:tab/>
      </w:r>
      <w:r>
        <w:rPr>
          <w:sz w:val="22"/>
          <w:u w:val="single"/>
        </w:rPr>
        <w:tab/>
        <w:tab/>
        <w:tab/>
        <w:tab/>
      </w:r>
      <w:r>
        <w:rPr>
          <w:sz w:val="22"/>
        </w:rPr>
        <w:tab/>
        <w:t xml:space="preserve">                                                 </w:t>
      </w:r>
    </w:p>
    <w:p>
      <w:pPr>
        <w:pStyle w:val="Normal"/>
        <w:rPr>
          <w:sz w:val="22"/>
        </w:rPr>
      </w:pPr>
      <w:r>
        <w:rPr>
          <w:sz w:val="22"/>
        </w:rPr>
      </w:r>
    </w:p>
    <w:p>
      <w:pPr>
        <w:pStyle w:val="Normal"/>
        <w:rPr/>
      </w:pPr>
      <w:r>
        <w:rPr>
          <w:sz w:val="22"/>
        </w:rPr>
        <w:tab/>
        <w:tab/>
        <w:t>Strike Price:</w:t>
        <w:tab/>
        <w:tab/>
        <w:tab/>
      </w:r>
      <w:r>
        <w:rPr>
          <w:sz w:val="22"/>
          <w:u w:val="single"/>
        </w:rPr>
        <w:tab/>
        <w:tab/>
        <w:tab/>
        <w:tab/>
      </w:r>
      <w:r>
        <w:rPr>
          <w:sz w:val="22"/>
        </w:rPr>
        <w:tab/>
        <w:t xml:space="preserve">                                                 </w:t>
      </w:r>
    </w:p>
    <w:p>
      <w:pPr>
        <w:pStyle w:val="Normal"/>
        <w:rPr>
          <w:sz w:val="22"/>
        </w:rPr>
      </w:pPr>
      <w:r>
        <w:rPr>
          <w:sz w:val="22"/>
        </w:rPr>
      </w:r>
    </w:p>
    <w:p>
      <w:pPr>
        <w:pStyle w:val="Normal"/>
        <w:rPr>
          <w:sz w:val="22"/>
        </w:rPr>
      </w:pPr>
      <w:r>
        <w:rPr>
          <w:sz w:val="22"/>
        </w:rPr>
        <w:tab/>
        <w:tab/>
        <w:t>Fixed Basis Adjustment:</w:t>
        <w:tab/>
      </w:r>
      <w:r>
        <w:rPr>
          <w:sz w:val="22"/>
        </w:rPr>
        <w:fldChar w:fldCharType="begin"/>
      </w:r>
      <w:r>
        <w:rPr>
          <w:sz w:val="22"/>
        </w:rPr>
        <w:instrText xml:space="preserve"> MERGEFIELD ContractPriceSign </w:instrText>
      </w:r>
      <w:r>
        <w:rPr>
          <w:sz w:val="22"/>
        </w:rPr>
        <w:fldChar w:fldCharType="separate"/>
      </w:r>
      <w:r>
        <w:rPr>
          <w:sz w:val="22"/>
        </w:rPr>
        <w:t>plus</w:t>
      </w:r>
      <w:r>
        <w:rPr>
          <w:sz w:val="22"/>
        </w:rPr>
        <w:fldChar w:fldCharType="end"/>
      </w:r>
      <w:r>
        <w:rPr>
          <w:sz w:val="22"/>
        </w:rPr>
        <w:t xml:space="preserve"> </w:t>
      </w:r>
      <w:r>
        <w:rPr>
          <w:sz w:val="22"/>
        </w:rPr>
        <w:fldChar w:fldCharType="begin"/>
      </w:r>
      <w:r>
        <w:rPr>
          <w:sz w:val="22"/>
        </w:rPr>
        <w:instrText xml:space="preserve"> MERGEFIELD ContractPrice </w:instrText>
      </w:r>
      <w:r>
        <w:rPr>
          <w:sz w:val="22"/>
        </w:rPr>
        <w:fldChar w:fldCharType="separate"/>
      </w:r>
      <w:r>
        <w:rPr>
          <w:sz w:val="22"/>
        </w:rPr>
        <w:t>US Dollars $0.98500 per MMBtu</w:t>
      </w:r>
      <w:r>
        <w:rPr>
          <w:sz w:val="22"/>
        </w:rPr>
        <w:fldChar w:fldCharType="end"/>
      </w:r>
    </w:p>
    <w:p>
      <w:pPr>
        <w:pStyle w:val="Normal"/>
        <w:rPr>
          <w:sz w:val="22"/>
        </w:rPr>
      </w:pPr>
      <w:r>
        <w:rPr>
          <w:sz w:val="22"/>
        </w:rPr>
      </w:r>
    </w:p>
    <w:p>
      <w:pPr>
        <w:pStyle w:val="Normal"/>
        <w:rPr/>
      </w:pPr>
      <w:r>
        <w:rPr>
          <w:sz w:val="22"/>
        </w:rPr>
        <w:tab/>
        <w:tab/>
        <w:t>Fixed Basis Price:</w:t>
        <w:tab/>
        <w:tab/>
      </w:r>
      <w:r>
        <w:rPr>
          <w:sz w:val="22"/>
          <w:u w:val="single"/>
        </w:rPr>
        <w:tab/>
        <w:tab/>
        <w:tab/>
        <w:tab/>
      </w:r>
      <w:r>
        <w:rPr>
          <w:sz w:val="22"/>
        </w:rPr>
        <w:tab/>
        <w:tab/>
        <w:t xml:space="preserve">                                                 </w:t>
      </w:r>
    </w:p>
    <w:p>
      <w:pPr>
        <w:pStyle w:val="Normal"/>
        <w:rPr>
          <w:sz w:val="22"/>
        </w:rPr>
      </w:pPr>
      <w:r>
        <w:rPr>
          <w:sz w:val="22"/>
        </w:rPr>
      </w:r>
    </w:p>
    <w:p>
      <w:pPr>
        <w:pStyle w:val="Normal"/>
        <w:jc w:val="both"/>
        <w:rPr/>
      </w:pPr>
      <w:r>
        <w:rPr>
          <w:sz w:val="22"/>
        </w:rPr>
        <w:tab/>
        <w:t xml:space="preserve">This Strike Price Election Notice confirms the terms of the Recorded Agreement reached on the Strike Date between you and </w:t>
      </w:r>
      <w:r>
        <w:rPr>
          <w:sz w:val="22"/>
        </w:rPr>
        <w:fldChar w:fldCharType="begin"/>
      </w:r>
      <w:r>
        <w:rPr>
          <w:sz w:val="22"/>
        </w:rPr>
        <w:instrText xml:space="preserve"> MERGEFIELD EnronEntityCode </w:instrText>
      </w:r>
      <w:r>
        <w:rPr>
          <w:sz w:val="22"/>
        </w:rPr>
        <w:fldChar w:fldCharType="separate"/>
      </w:r>
      <w:r>
        <w:rPr>
          <w:sz w:val="22"/>
        </w:rPr>
        <w:t>ENA</w:t>
      </w:r>
      <w:r>
        <w:rPr>
          <w:sz w:val="22"/>
        </w:rPr>
        <w:fldChar w:fldCharType="end"/>
      </w:r>
      <w:r>
        <w:rPr>
          <w:sz w:val="22"/>
        </w:rPr>
        <w:t xml:space="preserve"> and is subject to the terms of the above referenced agreements.</w:t>
      </w:r>
    </w:p>
    <w:p>
      <w:pPr>
        <w:pStyle w:val="Normal"/>
        <w:rPr>
          <w:sz w:val="22"/>
        </w:rPr>
      </w:pPr>
      <w:r>
        <w:rPr>
          <w:sz w:val="22"/>
        </w:rPr>
      </w:r>
    </w:p>
    <w:p>
      <w:pPr>
        <w:pStyle w:val="Normal"/>
        <w:rPr>
          <w:sz w:val="22"/>
        </w:rPr>
      </w:pPr>
      <w:r>
        <w:rPr>
          <w:sz w:val="22"/>
        </w:rPr>
        <w:tab/>
        <w:tab/>
        <w:tab/>
        <w:tab/>
        <w:tab/>
      </w: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rPr>
          <w:sz w:val="22"/>
        </w:rPr>
      </w:pPr>
      <w:r>
        <w:rPr>
          <w:sz w:val="22"/>
        </w:rPr>
      </w:r>
    </w:p>
    <w:p>
      <w:pPr>
        <w:pStyle w:val="Normal"/>
        <w:rPr>
          <w:sz w:val="22"/>
        </w:rPr>
      </w:pPr>
      <w:r>
        <w:rPr>
          <w:sz w:val="22"/>
        </w:rPr>
      </w:r>
    </w:p>
    <w:p>
      <w:pPr>
        <w:pStyle w:val="Normal"/>
        <w:rPr/>
      </w:pPr>
      <w:r>
        <w:rPr>
          <w:sz w:val="22"/>
        </w:rPr>
        <w:tab/>
        <w:tab/>
        <w:tab/>
        <w:tab/>
        <w:tab/>
        <w:t xml:space="preserve">By:   </w:t>
      </w:r>
      <w:r>
        <w:rPr>
          <w:sz w:val="22"/>
          <w:u w:val="single"/>
        </w:rPr>
        <w:tab/>
        <w:tab/>
        <w:tab/>
        <w:tab/>
        <w:tab/>
        <w:tab/>
        <w:tab/>
      </w:r>
      <w:r>
        <w:rPr>
          <w:sz w:val="22"/>
        </w:rPr>
        <w:t xml:space="preserve">                                                                       </w:t>
      </w:r>
    </w:p>
    <w:p>
      <w:pPr>
        <w:pStyle w:val="Normal"/>
        <w:rPr/>
      </w:pPr>
      <w:r>
        <w:rPr>
          <w:sz w:val="22"/>
        </w:rPr>
        <w:tab/>
        <w:tab/>
        <w:tab/>
        <w:tab/>
        <w:tab/>
        <w:t xml:space="preserve">Title:  </w:t>
      </w:r>
      <w:r>
        <w:rPr>
          <w:sz w:val="22"/>
          <w:u w:val="single"/>
        </w:rPr>
        <w:tab/>
        <w:tab/>
        <w:tab/>
        <w:tab/>
        <w:tab/>
        <w:tab/>
        <w:tab/>
      </w:r>
      <w:r>
        <w:rPr>
          <w:sz w:val="22"/>
        </w:rPr>
        <w:t xml:space="preserve">                                                                        </w:t>
      </w:r>
    </w:p>
    <w:p>
      <w:pPr>
        <w:pStyle w:val="Normal"/>
        <w:rPr/>
      </w:pPr>
      <w:r>
        <w:rPr>
          <w:sz w:val="22"/>
        </w:rPr>
        <w:tab/>
        <w:tab/>
        <w:tab/>
        <w:tab/>
        <w:tab/>
        <w:t xml:space="preserve">Date:  </w:t>
      </w:r>
      <w:r>
        <w:rPr>
          <w:sz w:val="22"/>
          <w:u w:val="single"/>
        </w:rPr>
        <w:tab/>
        <w:tab/>
        <w:tab/>
        <w:tab/>
        <w:tab/>
        <w:tab/>
        <w:tab/>
      </w:r>
      <w:r>
        <w:rPr>
          <w:sz w:val="22"/>
        </w:rPr>
        <w:t xml:space="preserve">       </w:t>
      </w:r>
      <w:r>
        <w:rPr/>
        <w:t xml:space="preserve">                                                                </w:t>
      </w:r>
    </w:p>
    <w:sectPr>
      <w:headerReference w:type="default" r:id="rId3"/>
      <w:headerReference w:type="first" r:id="rId4"/>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t>Co-Steel Inc.</w:t>
    </w:r>
    <w:r>
      <w:rPr/>
      <w:fldChar w:fldCharType="end"/>
    </w:r>
  </w:p>
  <w:p>
    <w:pPr>
      <w:pStyle w:val="Header"/>
      <w:tabs>
        <w:tab w:val="clear" w:pos="4320"/>
        <w:tab w:val="left" w:pos="900" w:leader="none"/>
        <w:tab w:val="right" w:pos="8640" w:leader="none"/>
      </w:tabs>
      <w:rPr/>
    </w:pPr>
    <w:r>
      <w:rPr/>
      <w:t xml:space="preserve">Trans.#:  </w:t>
    </w:r>
    <w:r>
      <w:rPr/>
      <w:fldChar w:fldCharType="begin"/>
    </w:r>
    <w:r>
      <w:rPr/>
      <w:instrText xml:space="preserve"> TITLE </w:instrText>
    </w:r>
    <w:r>
      <w:rPr/>
      <w:fldChar w:fldCharType="separate"/>
    </w:r>
    <w:r>
      <w:rPr/>
      <w:t>YD6829.1</w:t>
    </w:r>
    <w:r>
      <w:rPr/>
      <w:fldChar w:fldCharType="end"/>
    </w:r>
  </w:p>
  <w:p>
    <w:pPr>
      <w:pStyle w:val="Header"/>
      <w:rPr/>
    </w:pPr>
    <w:r>
      <w:rPr>
        <w:u w:val="single"/>
      </w:rPr>
      <w:t xml:space="preserve">Page  </w:t>
    </w:r>
    <w:r>
      <w:rPr>
        <w:u w:val="single"/>
      </w:rPr>
      <w:fldChar w:fldCharType="begin"/>
    </w:r>
    <w:r>
      <w:rPr>
        <w:u w:val="single"/>
      </w:rPr>
      <w:instrText xml:space="preserve"> PAGE </w:instrText>
    </w:r>
    <w:r>
      <w:rPr>
        <w:u w:val="single"/>
      </w:rPr>
      <w:fldChar w:fldCharType="separate"/>
    </w:r>
    <w:r>
      <w:rPr>
        <w:u w:val="single"/>
      </w:rPr>
      <w:t>4</w:t>
    </w:r>
    <w:r>
      <w:rPr>
        <w:u w:val="single"/>
      </w:rPr>
      <w:fldChar w:fldCharType="end"/>
    </w:r>
    <w:r>
      <w:rPr>
        <w:u w:val="single"/>
      </w:rPr>
      <w:tab/>
    </w:r>
  </w:p>
  <w:p>
    <w:pPr>
      <w:pStyle w:val="Header"/>
      <w:rPr>
        <w:u w:val="single"/>
      </w:rPr>
    </w:pPr>
    <w:r>
      <w:rPr>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2001-10-25T15:07:00Z</dcterms:created>
  <dc:creator>ECT</dc:creator>
  <dc:description/>
  <dc:language>en-CA</dc:language>
  <cp:lastModifiedBy>Richard J Deming</cp:lastModifiedBy>
  <dcterms:modified xsi:type="dcterms:W3CDTF">2001-10-25T15:11:00Z</dcterms:modified>
  <cp:revision>2</cp:revision>
  <dc:subject>Co-Steel Inc.</dc:subject>
  <dc:title>YD6829.1</dc:title>
</cp:coreProperties>
</file>