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998" w:type="dxa"/>
        <w:jc w:val="start"/>
        <w:tblInd w:w="0" w:type="dxa"/>
        <w:tblLayout w:type="fixed"/>
        <w:tblCellMar>
          <w:top w:w="0" w:type="dxa"/>
          <w:start w:w="108" w:type="dxa"/>
          <w:bottom w:w="0" w:type="dxa"/>
          <w:end w:w="108" w:type="dxa"/>
        </w:tblCellMar>
      </w:tblPr>
      <w:tblGrid>
        <w:gridCol w:w="4788"/>
        <w:gridCol w:w="6210"/>
      </w:tblGrid>
      <w:tr>
        <w:trPr/>
        <w:tc>
          <w:tcPr>
            <w:tcW w:w="4788" w:type="dxa"/>
            <w:tcBorders/>
          </w:tcPr>
          <w:p>
            <w:pPr>
              <w:pStyle w:val="Normal"/>
              <w:rPr>
                <w:sz w:val="20"/>
              </w:rPr>
            </w:pPr>
            <w:r>
              <w:rPr>
                <w:sz w:val="20"/>
              </w:rPr>
              <w:drawing>
                <wp:inline distT="0" distB="0" distL="0" distR="0">
                  <wp:extent cx="1095375" cy="108775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5375" cy="1087755"/>
                          </a:xfrm>
                          <a:prstGeom prst="rect">
                            <a:avLst/>
                          </a:prstGeom>
                          <a:noFill/>
                        </pic:spPr>
                      </pic:pic>
                    </a:graphicData>
                  </a:graphic>
                </wp:inline>
              </w:drawing>
            </w:r>
          </w:p>
        </w:tc>
        <w:tc>
          <w:tcPr>
            <w:tcW w:w="6210" w:type="dxa"/>
            <w:tcBorders/>
          </w:tcPr>
          <w:p>
            <w:pPr>
              <w:pStyle w:val="BodyText2"/>
              <w:rPr>
                <w:rFonts w:ascii="Arial Narrow" w:hAnsi="Arial Narrow" w:cs="Arial Narrow"/>
                <w:sz w:val="20"/>
              </w:rPr>
            </w:pPr>
            <w:r>
              <w:rPr>
                <w:rFonts w:cs="Arial Narrow" w:ascii="Arial Narrow" w:hAnsi="Arial Narrow"/>
                <w:sz w:val="20"/>
              </w:rPr>
              <w:t>ENA UPSTREAM COMPANY, LLC</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1400 Smith Street</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Houston, TX  77002</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Phone (713) 853-3300</w:t>
            </w:r>
          </w:p>
          <w:p>
            <w:pPr>
              <w:pStyle w:val="Normal"/>
              <w:tabs>
                <w:tab w:val="clear" w:pos="720"/>
                <w:tab w:val="left" w:pos="2412" w:leader="none"/>
              </w:tabs>
              <w:ind w:start="1962" w:end="0"/>
              <w:rPr>
                <w:rFonts w:ascii="Arial Narrow" w:hAnsi="Arial Narrow" w:cs="Arial Narrow"/>
              </w:rPr>
            </w:pPr>
            <w:r>
              <w:rPr>
                <w:rFonts w:cs="Arial Narrow" w:ascii="Arial Narrow" w:hAnsi="Arial Narrow"/>
                <w:i/>
                <w:sz w:val="18"/>
              </w:rPr>
              <w:t>Fax (713) 646-4816</w:t>
            </w:r>
          </w:p>
        </w:tc>
      </w:tr>
    </w:tbl>
    <w:p>
      <w:pPr>
        <w:pStyle w:val="Normal"/>
        <w:widowControl/>
        <w:jc w:val="center"/>
        <w:rPr>
          <w:rFonts w:ascii="Arial Narrow" w:hAnsi="Arial Narrow" w:cs="Arial Narrow"/>
          <w:b/>
          <w:sz w:val="20"/>
        </w:rPr>
      </w:pPr>
      <w:r>
        <w:rPr>
          <w:rFonts w:cs="Arial Narrow" w:ascii="Arial Narrow" w:hAnsi="Arial Narrow"/>
          <w:b/>
          <w:sz w:val="20"/>
        </w:rPr>
      </w:r>
    </w:p>
    <w:p>
      <w:pPr>
        <w:pStyle w:val="Normal"/>
        <w:widowControl/>
        <w:jc w:val="center"/>
        <w:rPr>
          <w:rFonts w:ascii="Arial Narrow" w:hAnsi="Arial Narrow" w:cs="Arial Narrow"/>
          <w:sz w:val="20"/>
        </w:rPr>
      </w:pPr>
      <w:r>
        <w:rPr>
          <w:rFonts w:cs="Arial Narrow" w:ascii="Arial Narrow" w:hAnsi="Arial Narrow"/>
          <w:sz w:val="20"/>
        </w:rPr>
        <w:t>August 6, 2001</w:t>
      </w:r>
    </w:p>
    <w:p>
      <w:pPr>
        <w:pStyle w:val="Normal"/>
        <w:widowControl/>
        <w:jc w:val="center"/>
        <w:rPr>
          <w:rFonts w:ascii="Arial Narrow" w:hAnsi="Arial Narrow" w:cs="Arial Narrow"/>
          <w:sz w:val="20"/>
        </w:rPr>
      </w:pPr>
      <w:r>
        <w:rPr>
          <w:rFonts w:cs="Arial Narrow" w:ascii="Arial Narrow" w:hAnsi="Arial Narrow"/>
          <w:sz w:val="20"/>
        </w:rPr>
      </w:r>
    </w:p>
    <w:p>
      <w:pPr>
        <w:pStyle w:val="Normal"/>
        <w:widowControl/>
        <w:rPr>
          <w:rFonts w:ascii="Arial Narrow" w:hAnsi="Arial Narrow" w:cs="Arial Narrow"/>
          <w:sz w:val="20"/>
        </w:rPr>
      </w:pPr>
      <w:r>
        <w:rPr>
          <w:rFonts w:cs="Arial Narrow" w:ascii="Arial Narrow" w:hAnsi="Arial Narrow"/>
          <w:sz w:val="20"/>
        </w:rPr>
        <w:t>Riceland Petroleum Company</w:t>
      </w:r>
    </w:p>
    <w:p>
      <w:pPr>
        <w:pStyle w:val="Normal"/>
        <w:widowControl/>
        <w:rPr>
          <w:rFonts w:ascii="Arial Narrow" w:hAnsi="Arial Narrow" w:cs="Arial Narrow"/>
          <w:sz w:val="20"/>
        </w:rPr>
      </w:pPr>
      <w:r>
        <w:rPr>
          <w:rFonts w:cs="Arial Narrow" w:ascii="Arial Narrow" w:hAnsi="Arial Narrow"/>
          <w:sz w:val="20"/>
        </w:rPr>
        <w:t>Fax No.: 337-237-3622</w:t>
      </w:r>
    </w:p>
    <w:p>
      <w:pPr>
        <w:pStyle w:val="Normal"/>
        <w:widowControl/>
        <w:rPr>
          <w:rFonts w:ascii="Arial Narrow" w:hAnsi="Arial Narrow" w:cs="Arial Narrow"/>
          <w:sz w:val="20"/>
        </w:rPr>
      </w:pPr>
      <w:r>
        <w:rPr>
          <w:rFonts w:cs="Arial Narrow" w:ascii="Arial Narrow" w:hAnsi="Arial Narrow"/>
          <w:sz w:val="20"/>
        </w:rPr>
        <w:t>Deal No.:  969604</w:t>
      </w:r>
    </w:p>
    <w:p>
      <w:pPr>
        <w:pStyle w:val="Normal"/>
        <w:widowControl/>
        <w:jc w:val="center"/>
        <w:rPr>
          <w:rFonts w:ascii="Arial Narrow" w:hAnsi="Arial Narrow" w:cs="Arial Narrow"/>
          <w:sz w:val="20"/>
        </w:rPr>
      </w:pPr>
      <w:r>
        <w:rPr>
          <w:rFonts w:cs="Arial Narrow" w:ascii="Arial Narrow" w:hAnsi="Arial Narrow"/>
          <w:sz w:val="20"/>
        </w:rPr>
      </w:r>
    </w:p>
    <w:p>
      <w:pPr>
        <w:pStyle w:val="Normal"/>
        <w:widowControl/>
        <w:jc w:val="center"/>
        <w:rPr/>
      </w:pPr>
      <w:r>
        <w:rPr>
          <w:rFonts w:cs="Arial Narrow" w:ascii="Arial Narrow" w:hAnsi="Arial Narrow"/>
          <w:b/>
          <w:sz w:val="20"/>
        </w:rPr>
        <w:t>ENFOLIO</w:t>
      </w:r>
      <w:r>
        <w:rPr>
          <w:rFonts w:eastAsia="Symbol" w:cs="Symbol" w:ascii="Symbol" w:hAnsi="Symbol"/>
          <w:b/>
          <w:position w:val="6"/>
          <w:sz w:val="20"/>
        </w:rPr>
        <w:sym w:font="Symbol" w:char="f0e2"/>
      </w:r>
      <w:r>
        <w:rPr>
          <w:rFonts w:cs="Arial Narrow" w:ascii="Arial Narrow" w:hAnsi="Arial Narrow"/>
          <w:b/>
          <w:position w:val="6"/>
          <w:sz w:val="20"/>
        </w:rPr>
        <w:t xml:space="preserve"> </w:t>
      </w:r>
      <w:r>
        <w:rPr>
          <w:rFonts w:cs="Arial Narrow" w:ascii="Arial Narrow" w:hAnsi="Arial Narrow"/>
          <w:b/>
          <w:sz w:val="20"/>
        </w:rPr>
        <w:t>PURCHASE FROM COMMITTED WELL(S)/ CONFIRMATION</w:t>
      </w:r>
    </w:p>
    <w:p>
      <w:pPr>
        <w:pStyle w:val="Normal"/>
        <w:widowControl/>
        <w:jc w:val="center"/>
        <w:rPr/>
      </w:pPr>
      <w:r>
        <w:rPr>
          <w:rFonts w:cs="Arial Narrow" w:ascii="Arial Narrow" w:hAnsi="Arial Narrow"/>
          <w:b/>
          <w:sz w:val="20"/>
        </w:rPr>
        <w:t>ENFOLIO</w:t>
      </w:r>
      <w:r>
        <w:rPr>
          <w:rFonts w:eastAsia="Symbol" w:cs="Symbol" w:ascii="Symbol" w:hAnsi="Symbol"/>
          <w:b/>
          <w:position w:val="6"/>
          <w:sz w:val="20"/>
        </w:rPr>
        <w:sym w:font="Symbol" w:char="f0e2"/>
      </w:r>
      <w:r>
        <w:rPr>
          <w:rFonts w:cs="Arial Narrow" w:ascii="Arial Narrow" w:hAnsi="Arial Narrow"/>
          <w:b/>
          <w:sz w:val="20"/>
        </w:rPr>
        <w:t xml:space="preserve"> PURCHASE FROM COMMITTED WELL(S)/ GENERAL TERMS &amp; CONDITIONS GOVERN</w:t>
      </w:r>
    </w:p>
    <w:p>
      <w:pPr>
        <w:pStyle w:val="Normal"/>
        <w:widowControl/>
        <w:tabs>
          <w:tab w:val="clear" w:pos="720"/>
          <w:tab w:val="left" w:pos="7245" w:leader="none"/>
        </w:tabs>
        <w:jc w:val="center"/>
        <w:rPr>
          <w:rFonts w:ascii="Arial Narrow" w:hAnsi="Arial Narrow" w:cs="Arial Narrow"/>
          <w:b/>
          <w:sz w:val="20"/>
        </w:rPr>
      </w:pPr>
      <w:r>
        <w:rPr>
          <w:rFonts w:cs="Arial Narrow" w:ascii="Arial Narrow" w:hAnsi="Arial Narrow"/>
          <w:b/>
          <w:sz w:val="20"/>
        </w:rPr>
      </w:r>
    </w:p>
    <w:p>
      <w:pPr>
        <w:pStyle w:val="Normal"/>
        <w:widowControl/>
        <w:jc w:val="both"/>
        <w:rPr/>
      </w:pPr>
      <w:r>
        <w:rPr>
          <w:rFonts w:cs="Arial Narrow" w:ascii="Arial Narrow" w:hAnsi="Arial Narrow"/>
          <w:sz w:val="20"/>
        </w:rPr>
        <w:t xml:space="preserve">This Confirmation shall confirm the Transaction agreed to on the date hereof and binding between </w:t>
      </w:r>
      <w:r>
        <w:rPr>
          <w:rFonts w:cs="Arial Narrow" w:ascii="Arial Narrow" w:hAnsi="Arial Narrow"/>
          <w:b/>
          <w:sz w:val="20"/>
        </w:rPr>
        <w:t>Riceland Petroleum Company</w:t>
      </w:r>
      <w:r>
        <w:rPr>
          <w:rFonts w:cs="Arial Narrow" w:ascii="Arial Narrow" w:hAnsi="Arial Narrow"/>
          <w:sz w:val="20"/>
        </w:rPr>
        <w:t xml:space="preserve"> ("</w:t>
      </w:r>
      <w:r>
        <w:rPr>
          <w:rFonts w:cs="Arial Narrow" w:ascii="Arial Narrow" w:hAnsi="Arial Narrow"/>
          <w:sz w:val="20"/>
          <w:u w:val="single"/>
        </w:rPr>
        <w:t>Customer</w:t>
      </w:r>
      <w:r>
        <w:rPr>
          <w:rFonts w:cs="Arial Narrow" w:ascii="Arial Narrow" w:hAnsi="Arial Narrow"/>
          <w:sz w:val="20"/>
        </w:rPr>
        <w:t xml:space="preserve">") and </w:t>
      </w:r>
      <w:r>
        <w:rPr>
          <w:rFonts w:cs="Arial Narrow" w:ascii="Arial Narrow" w:hAnsi="Arial Narrow"/>
          <w:b/>
          <w:sz w:val="20"/>
        </w:rPr>
        <w:t xml:space="preserve">ENA Upstream Company, LLC </w:t>
      </w:r>
      <w:r>
        <w:rPr>
          <w:rFonts w:cs="Arial Narrow" w:ascii="Arial Narrow" w:hAnsi="Arial Narrow"/>
          <w:sz w:val="20"/>
        </w:rPr>
        <w:t>("</w:t>
      </w:r>
      <w:r>
        <w:rPr>
          <w:rFonts w:cs="Arial Narrow" w:ascii="Arial Narrow" w:hAnsi="Arial Narrow"/>
          <w:sz w:val="20"/>
          <w:u w:val="single"/>
        </w:rPr>
        <w:t>Company</w:t>
      </w:r>
      <w:r>
        <w:rPr>
          <w:rFonts w:cs="Arial Narrow" w:ascii="Arial Narrow" w:hAnsi="Arial Narrow"/>
          <w:sz w:val="20"/>
        </w:rPr>
        <w:t>") regarding the purchase and sale of gas on the following terms.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pPr>
      <w:r>
        <w:rPr>
          <w:rFonts w:cs="Arial Narrow" w:ascii="Arial Narrow" w:hAnsi="Arial Narrow"/>
          <w:b/>
          <w:sz w:val="20"/>
        </w:rPr>
        <w:t xml:space="preserve">COMMITTED WELL(S):  </w:t>
      </w:r>
      <w:r>
        <w:rPr>
          <w:rFonts w:cs="Arial Narrow" w:ascii="Arial Narrow" w:hAnsi="Arial Narrow"/>
          <w:sz w:val="20"/>
        </w:rPr>
        <w:t xml:space="preserve">The undivided interests owned or controlled by Seller (or the undivided interests from which Seller has obtained a right to exclusively purchase the gas production from the producer that owns or controls such interests) in and to leaseholds, royalties, overriding royalties, and all additional right, title, interest or claim of every kind and character of Seller in the gas reserves underlying, and production, to the extent attributable to the wells as set forth below, together with any pool, communitized area or unit applicable to such wells, and any and all hereafter acquired interests in production from such wells and any and all renewals and extensions or amendments of any of the same, </w:t>
      </w:r>
      <w:r>
        <w:rPr>
          <w:rFonts w:cs="Arial Narrow" w:ascii="Arial Narrow" w:hAnsi="Arial Narrow"/>
          <w:color w:val="0000FF"/>
          <w:sz w:val="20"/>
        </w:rPr>
        <w:t>limited to the MaxDQ</w:t>
      </w:r>
      <w:r>
        <w:rPr>
          <w:rFonts w:cs="Arial Narrow" w:ascii="Arial Narrow" w:hAnsi="Arial Narrow"/>
          <w:sz w:val="20"/>
        </w:rPr>
        <w:t xml:space="preserve"> </w:t>
      </w:r>
      <w:r>
        <w:rPr>
          <w:rFonts w:cs="Arial Narrow" w:ascii="Arial Narrow" w:hAnsi="Arial Narrow"/>
          <w:color w:val="0000FF"/>
          <w:sz w:val="20"/>
        </w:rPr>
        <w:t>of</w:t>
      </w:r>
      <w:r>
        <w:rPr>
          <w:rFonts w:cs="Arial Narrow" w:ascii="Arial Narrow" w:hAnsi="Arial Narrow"/>
          <w:sz w:val="20"/>
        </w:rPr>
        <w:t xml:space="preserve"> </w:t>
      </w:r>
      <w:r>
        <w:rPr>
          <w:rFonts w:cs="Arial Narrow" w:ascii="Arial Narrow" w:hAnsi="Arial Narrow"/>
          <w:color w:val="0000FF"/>
          <w:sz w:val="20"/>
        </w:rPr>
        <w:t>5,000</w:t>
      </w:r>
      <w:r>
        <w:rPr>
          <w:rFonts w:cs="Arial Narrow" w:ascii="Arial Narrow" w:hAnsi="Arial Narrow"/>
          <w:sz w:val="20"/>
        </w:rPr>
        <w:t xml:space="preserve"> </w:t>
      </w:r>
      <w:r>
        <w:rPr>
          <w:rFonts w:cs="Arial Narrow" w:ascii="Arial Narrow" w:hAnsi="Arial Narrow"/>
          <w:color w:val="0000FF"/>
          <w:sz w:val="20"/>
        </w:rPr>
        <w:t>MMBtu per Day.</w:t>
      </w:r>
    </w:p>
    <w:p>
      <w:pPr>
        <w:pStyle w:val="Normal"/>
        <w:widowControl/>
        <w:jc w:val="both"/>
        <w:rPr>
          <w:rFonts w:ascii="Arial Narrow" w:hAnsi="Arial Narrow" w:cs="Arial Narrow"/>
          <w:color w:val="0000FF"/>
          <w:sz w:val="20"/>
        </w:rPr>
      </w:pPr>
      <w:r>
        <w:rPr>
          <w:rFonts w:cs="Arial Narrow" w:ascii="Arial Narrow" w:hAnsi="Arial Narrow"/>
          <w:color w:val="0000FF"/>
          <w:sz w:val="20"/>
        </w:rPr>
      </w:r>
    </w:p>
    <w:p>
      <w:pPr>
        <w:pStyle w:val="Normal"/>
        <w:widowControl/>
        <w:jc w:val="both"/>
        <w:rPr>
          <w:rFonts w:ascii="Arial Narrow" w:hAnsi="Arial Narrow" w:cs="Arial Narrow"/>
          <w:b/>
          <w:sz w:val="20"/>
        </w:rPr>
      </w:pPr>
      <w:r>
        <w:rPr>
          <w:rFonts w:cs="Arial Narrow" w:ascii="Arial Narrow" w:hAnsi="Arial Narrow"/>
          <w:b/>
          <w:bCs/>
          <w:color w:val="0000FF"/>
          <w:sz w:val="20"/>
        </w:rPr>
        <w:t>DELIVERY OF INTEREST:</w:t>
      </w:r>
      <w:r>
        <w:rPr>
          <w:rFonts w:cs="Arial Narrow" w:ascii="Arial Narrow" w:hAnsi="Arial Narrow"/>
          <w:color w:val="0000FF"/>
          <w:sz w:val="20"/>
        </w:rPr>
        <w:t xml:space="preserve">  Seller shall deliver 100% of the Seller’s Daily Deliverability from the Seller’s Interest in the Committed Wells, Limited to the MaxDQ.</w:t>
      </w:r>
    </w:p>
    <w:p>
      <w:pPr>
        <w:pStyle w:val="Normal"/>
        <w:widowControl/>
        <w:jc w:val="both"/>
        <w:rPr>
          <w:rFonts w:ascii="Arial Narrow" w:hAnsi="Arial Narrow" w:cs="Arial Narrow"/>
          <w:b/>
          <w:sz w:val="20"/>
          <w:u w:val="single"/>
        </w:rPr>
      </w:pPr>
      <w:r>
        <w:rPr>
          <w:rFonts w:cs="Arial Narrow" w:ascii="Arial Narrow" w:hAnsi="Arial Narrow"/>
          <w:b/>
          <w:sz w:val="20"/>
        </w:rPr>
        <w:t>FIELD NAME/COUNTY/STATE:</w:t>
      </w:r>
      <w:r>
        <w:rPr>
          <w:rFonts w:cs="Arial Narrow" w:ascii="Arial Narrow" w:hAnsi="Arial Narrow"/>
          <w:bCs/>
          <w:sz w:val="20"/>
        </w:rPr>
        <w:t xml:space="preserve">  Johnsons Bayou / Cameron / LA</w:t>
      </w:r>
    </w:p>
    <w:p>
      <w:pPr>
        <w:pStyle w:val="Normal"/>
        <w:widowControl/>
        <w:jc w:val="both"/>
        <w:rPr>
          <w:rFonts w:ascii="Arial Narrow" w:hAnsi="Arial Narrow" w:cs="Arial Narrow"/>
          <w:b/>
          <w:sz w:val="20"/>
        </w:rPr>
      </w:pPr>
      <w:r>
        <w:rPr>
          <w:rFonts w:cs="Arial Narrow" w:ascii="Arial Narrow" w:hAnsi="Arial Narrow"/>
          <w:b/>
          <w:bCs/>
          <w:color w:val="0000FF"/>
          <w:sz w:val="20"/>
        </w:rPr>
        <w:t>WELLNAME:</w:t>
      </w:r>
      <w:r>
        <w:rPr>
          <w:rFonts w:cs="Arial Narrow" w:ascii="Arial Narrow" w:hAnsi="Arial Narrow"/>
          <w:color w:val="0000FF"/>
          <w:sz w:val="20"/>
        </w:rPr>
        <w:t xml:space="preserve">  Johnsons Bayou – SL 14422 #1, SL 14422 #2, SL 14570 #1, SL 14423 #1, SL 16037 #1, SL 6698 #2</w:t>
      </w:r>
    </w:p>
    <w:p>
      <w:pPr>
        <w:pStyle w:val="Normal"/>
        <w:widowControl/>
        <w:jc w:val="both"/>
        <w:rPr>
          <w:rFonts w:ascii="Arial Narrow" w:hAnsi="Arial Narrow" w:cs="Arial Narrow"/>
          <w:b/>
          <w:sz w:val="20"/>
        </w:rPr>
      </w:pPr>
      <w:r>
        <w:rPr>
          <w:rFonts w:cs="Arial Narrow" w:ascii="Arial Narrow" w:hAnsi="Arial Narrow"/>
          <w:b/>
          <w:sz w:val="20"/>
        </w:rPr>
        <w:t>DELIVERY/(POOLING) POINT(S):</w:t>
      </w:r>
      <w:r>
        <w:rPr>
          <w:rFonts w:cs="Arial Narrow" w:ascii="Arial Narrow" w:hAnsi="Arial Narrow"/>
          <w:sz w:val="20"/>
        </w:rPr>
        <w:t xml:space="preserve">  Meter # 42381 / ANR Pipeline Company - Gathered</w:t>
      </w:r>
    </w:p>
    <w:p>
      <w:pPr>
        <w:pStyle w:val="Normal"/>
        <w:widowControl/>
        <w:jc w:val="both"/>
        <w:rPr>
          <w:rFonts w:ascii="Arial Narrow" w:hAnsi="Arial Narrow" w:cs="Arial Narrow"/>
          <w:b/>
          <w:bCs/>
          <w:color w:val="0000FF"/>
          <w:sz w:val="20"/>
          <w:u w:val="single"/>
        </w:rPr>
      </w:pPr>
      <w:r>
        <w:rPr>
          <w:rFonts w:cs="Arial Narrow" w:ascii="Arial Narrow" w:hAnsi="Arial Narrow"/>
          <w:b/>
          <w:bCs/>
          <w:color w:val="0000FF"/>
          <w:sz w:val="20"/>
          <w:u w:val="single"/>
        </w:rPr>
      </w:r>
    </w:p>
    <w:p>
      <w:pPr>
        <w:pStyle w:val="Normal"/>
        <w:widowControl/>
        <w:jc w:val="both"/>
        <w:rPr>
          <w:rFonts w:ascii="Arial Narrow" w:hAnsi="Arial Narrow" w:cs="Arial Narrow"/>
          <w:b/>
          <w:sz w:val="20"/>
        </w:rPr>
      </w:pPr>
      <w:r>
        <w:rPr>
          <w:rFonts w:cs="Arial Narrow" w:ascii="Arial Narrow" w:hAnsi="Arial Narrow"/>
          <w:b/>
          <w:bCs/>
          <w:color w:val="0000FF"/>
          <w:sz w:val="20"/>
          <w:u w:val="single"/>
        </w:rPr>
        <w:t>PART A:</w:t>
      </w:r>
    </w:p>
    <w:p>
      <w:pPr>
        <w:pStyle w:val="Normal"/>
        <w:widowControl/>
        <w:jc w:val="both"/>
        <w:rPr>
          <w:rFonts w:ascii="Arial Narrow" w:hAnsi="Arial Narrow" w:cs="Arial Narrow"/>
          <w:b/>
          <w:sz w:val="20"/>
        </w:rPr>
      </w:pPr>
      <w:r>
        <w:rPr>
          <w:rFonts w:cs="Arial Narrow" w:ascii="Arial Narrow" w:hAnsi="Arial Narrow"/>
          <w:b/>
          <w:sz w:val="20"/>
        </w:rPr>
        <w:t xml:space="preserve">PERIOD OF DELIVERY:  </w:t>
      </w:r>
      <w:r>
        <w:rPr>
          <w:rFonts w:cs="Arial Narrow" w:ascii="Arial Narrow" w:hAnsi="Arial Narrow"/>
          <w:color w:val="0000FF"/>
          <w:sz w:val="20"/>
        </w:rPr>
        <w:t>September 2001</w:t>
      </w:r>
    </w:p>
    <w:p>
      <w:pPr>
        <w:pStyle w:val="Normal"/>
        <w:widowControl/>
        <w:tabs>
          <w:tab w:val="clear" w:pos="720"/>
          <w:tab w:val="left" w:pos="5850" w:leader="none"/>
        </w:tabs>
        <w:jc w:val="both"/>
        <w:rPr/>
      </w:pPr>
      <w:r>
        <w:rPr>
          <w:rFonts w:cs="Arial Narrow" w:ascii="Arial Narrow" w:hAnsi="Arial Narrow"/>
          <w:b/>
          <w:sz w:val="20"/>
        </w:rPr>
        <w:t xml:space="preserve">CONTRACT PRICE:  </w:t>
      </w:r>
      <w:r>
        <w:rPr>
          <w:rFonts w:cs="Arial Narrow" w:ascii="Arial Narrow" w:hAnsi="Arial Narrow"/>
          <w:sz w:val="20"/>
        </w:rPr>
        <w:t>Buyer shall pay a price per MMBtu (in each case, the "</w:t>
      </w:r>
      <w:r>
        <w:rPr>
          <w:rFonts w:cs="Arial Narrow" w:ascii="Arial Narrow" w:hAnsi="Arial Narrow"/>
          <w:sz w:val="20"/>
          <w:u w:val="single"/>
        </w:rPr>
        <w:t>Contract Price</w:t>
      </w:r>
      <w:r>
        <w:rPr>
          <w:rFonts w:cs="Arial Narrow" w:ascii="Arial Narrow" w:hAnsi="Arial Narrow"/>
          <w:sz w:val="20"/>
        </w:rPr>
        <w:t xml:space="preserve">"), determined on a dry basis in accordance with Buyer's transportation contract, </w:t>
      </w:r>
      <w:r>
        <w:rPr>
          <w:rFonts w:cs="Arial Narrow" w:ascii="Arial Narrow" w:hAnsi="Arial Narrow"/>
          <w:b/>
          <w:sz w:val="20"/>
        </w:rPr>
        <w:t xml:space="preserve">for volumes up to 1,300 MMBtu per day of gas delivered hereunder </w:t>
      </w:r>
      <w:r>
        <w:rPr>
          <w:rFonts w:cs="Arial Narrow" w:ascii="Arial Narrow" w:hAnsi="Arial Narrow"/>
          <w:sz w:val="20"/>
        </w:rPr>
        <w:t xml:space="preserve">each month, equal to US Dollars $3.30500 per MMBtu and LESS any and all costs and expenses of Buyer attributable to the compression, dehydration, gathering, fuel, transporting and other post production operations necessary to transport the gas delivered hereunder to the Delivery Point(s) </w:t>
      </w:r>
      <w:r>
        <w:rPr>
          <w:rFonts w:cs="Arial Narrow" w:ascii="Arial Narrow" w:hAnsi="Arial Narrow"/>
          <w:b/>
          <w:sz w:val="20"/>
        </w:rPr>
        <w:t>(</w:t>
      </w:r>
      <w:r>
        <w:rPr>
          <w:rFonts w:cs="Arial Narrow" w:ascii="Arial Narrow" w:hAnsi="Arial Narrow"/>
          <w:sz w:val="20"/>
        </w:rPr>
        <w:t>the "</w:t>
      </w:r>
      <w:r>
        <w:rPr>
          <w:rFonts w:cs="Arial Narrow" w:ascii="Arial Narrow" w:hAnsi="Arial Narrow"/>
          <w:sz w:val="20"/>
          <w:u w:val="single"/>
        </w:rPr>
        <w:t>Deduction</w:t>
      </w:r>
      <w:r>
        <w:rPr>
          <w:rFonts w:cs="Arial Narrow" w:ascii="Arial Narrow" w:hAnsi="Arial Narrow"/>
          <w:sz w:val="20"/>
        </w:rPr>
        <w:t xml:space="preserve">").  </w:t>
      </w:r>
      <w:r>
        <w:rPr>
          <w:rFonts w:cs="Arial Narrow" w:ascii="Arial Narrow" w:hAnsi="Arial Narrow"/>
          <w:b/>
          <w:sz w:val="20"/>
        </w:rPr>
        <w:t xml:space="preserve">For volumes between 1,301 MMBtu per day-4,550 MMBtu per day of gas delivered hereunder </w:t>
      </w:r>
      <w:r>
        <w:rPr>
          <w:rFonts w:cs="Arial Narrow" w:ascii="Arial Narrow" w:hAnsi="Arial Narrow"/>
          <w:sz w:val="20"/>
        </w:rPr>
        <w:t xml:space="preserve">each month Buyer shall pay a Contract Price equal to the “Index Price” published in Inside F.E.R.C for ANR Pipeline Co. – Louisiana as listed in the table entitled “Prices of Spot Gas Delivered to Pipelines” in the first of the month issue of such publication for each month LESS $0.00500 and LESS the Deduction.  </w:t>
      </w:r>
      <w:r>
        <w:rPr>
          <w:rFonts w:cs="Arial Narrow" w:ascii="Arial Narrow" w:hAnsi="Arial Narrow"/>
          <w:b/>
          <w:bCs/>
          <w:sz w:val="20"/>
        </w:rPr>
        <w:t xml:space="preserve">For volumes between 4,551 MMBtu per day-5,000 MMBtu per day </w:t>
      </w:r>
      <w:r>
        <w:rPr>
          <w:rFonts w:cs="Arial Narrow" w:ascii="Arial Narrow" w:hAnsi="Arial Narrow"/>
          <w:b/>
          <w:sz w:val="20"/>
        </w:rPr>
        <w:t xml:space="preserve">of gas delivered hereunder </w:t>
      </w:r>
      <w:r>
        <w:rPr>
          <w:rFonts w:cs="Arial Narrow" w:ascii="Arial Narrow" w:hAnsi="Arial Narrow"/>
          <w:sz w:val="20"/>
        </w:rPr>
        <w:t xml:space="preserve">each month Buyer shall pay a Contract Price equal to the </w:t>
      </w:r>
      <w:r>
        <w:rPr>
          <w:rFonts w:cs="Arial Narrow" w:ascii="Arial Narrow" w:hAnsi="Arial Narrow"/>
          <w:color w:val="000000"/>
          <w:sz w:val="20"/>
        </w:rPr>
        <w:t xml:space="preserve">"Midpoint" price stated in </w:t>
      </w:r>
      <w:r>
        <w:rPr>
          <w:rFonts w:cs="Arial Narrow" w:ascii="Arial Narrow" w:hAnsi="Arial Narrow"/>
          <w:color w:val="000000"/>
          <w:sz w:val="20"/>
          <w:u w:val="single"/>
        </w:rPr>
        <w:t>Gas Daily</w:t>
      </w:r>
      <w:r>
        <w:rPr>
          <w:rFonts w:cs="Arial Narrow" w:ascii="Arial Narrow" w:hAnsi="Arial Narrow"/>
          <w:color w:val="000000"/>
          <w:sz w:val="20"/>
        </w:rPr>
        <w:t xml:space="preserve">® (Financial Times Energy), or successor publication, in the column "Daily Price Survey" </w:t>
      </w:r>
      <w:r>
        <w:rPr>
          <w:rFonts w:cs="Arial Narrow" w:ascii="Arial Narrow" w:hAnsi="Arial Narrow"/>
          <w:sz w:val="20"/>
        </w:rPr>
        <w:t xml:space="preserve">for the relevant gas day for </w:t>
      </w:r>
      <w:r>
        <w:rPr>
          <w:rFonts w:cs="Arial Narrow" w:ascii="Arial Narrow" w:hAnsi="Arial Narrow"/>
          <w:color w:val="0000FF"/>
          <w:sz w:val="20"/>
        </w:rPr>
        <w:t>Louisiana – Onshore South – ANR</w:t>
      </w:r>
      <w:r>
        <w:rPr>
          <w:rFonts w:cs="Arial Narrow" w:ascii="Arial Narrow" w:hAnsi="Arial Narrow"/>
          <w:sz w:val="20"/>
        </w:rPr>
        <w:t xml:space="preserve"> for each gas day in which deliveries occurred and LESS the Deduction.  </w:t>
      </w:r>
    </w:p>
    <w:p>
      <w:pPr>
        <w:pStyle w:val="Normal"/>
        <w:widowControl/>
        <w:tabs>
          <w:tab w:val="clear" w:pos="720"/>
          <w:tab w:val="left" w:pos="5850" w:leader="none"/>
        </w:tabs>
        <w:jc w:val="both"/>
        <w:rPr>
          <w:rFonts w:ascii="Arial Narrow" w:hAnsi="Arial Narrow" w:cs="Arial Narrow"/>
          <w:sz w:val="20"/>
        </w:rPr>
      </w:pPr>
      <w:r>
        <w:rPr>
          <w:rFonts w:cs="Arial Narrow" w:ascii="Arial Narrow" w:hAnsi="Arial Narrow"/>
          <w:sz w:val="20"/>
        </w:rPr>
        <w:t>If any referenced index is not available in the future, and the Parties do not agree to an alternate as of the end of the first month for which the Contract Price could not be determined, then the determination of a replacement index shall be subject to arbitration.</w:t>
      </w:r>
    </w:p>
    <w:p>
      <w:pPr>
        <w:pStyle w:val="Normal"/>
        <w:widowControl/>
        <w:tabs>
          <w:tab w:val="clear" w:pos="720"/>
          <w:tab w:val="left" w:pos="5850" w:leader="none"/>
        </w:tabs>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color w:val="0000FF"/>
          <w:sz w:val="20"/>
        </w:rPr>
      </w:pPr>
      <w:r>
        <w:rPr>
          <w:rFonts w:cs="Arial Narrow" w:ascii="Arial Narrow" w:hAnsi="Arial Narrow"/>
          <w:b/>
          <w:bCs/>
          <w:color w:val="0000FF"/>
          <w:sz w:val="20"/>
          <w:u w:val="single"/>
        </w:rPr>
        <w:t>PART B:</w:t>
      </w:r>
    </w:p>
    <w:p>
      <w:pPr>
        <w:pStyle w:val="Normal"/>
        <w:widowControl/>
        <w:jc w:val="both"/>
        <w:rPr>
          <w:rFonts w:ascii="Arial Narrow" w:hAnsi="Arial Narrow" w:cs="Arial Narrow"/>
          <w:b/>
          <w:sz w:val="20"/>
        </w:rPr>
      </w:pPr>
      <w:r>
        <w:rPr>
          <w:rFonts w:cs="Arial Narrow" w:ascii="Arial Narrow" w:hAnsi="Arial Narrow"/>
          <w:b/>
          <w:sz w:val="20"/>
        </w:rPr>
        <w:t xml:space="preserve">PERIOD OF DELIVERY:  </w:t>
      </w:r>
      <w:r>
        <w:rPr>
          <w:rFonts w:cs="Arial Narrow" w:ascii="Arial Narrow" w:hAnsi="Arial Narrow"/>
          <w:color w:val="0000FF"/>
          <w:sz w:val="20"/>
        </w:rPr>
        <w:t>October 1, 2001 through August 31, 2002</w:t>
      </w:r>
    </w:p>
    <w:p>
      <w:pPr>
        <w:pStyle w:val="Normal"/>
        <w:widowControl/>
        <w:tabs>
          <w:tab w:val="clear" w:pos="720"/>
          <w:tab w:val="left" w:pos="5850" w:leader="none"/>
        </w:tabs>
        <w:jc w:val="both"/>
        <w:rPr/>
      </w:pPr>
      <w:r>
        <w:rPr>
          <w:rFonts w:cs="Arial Narrow" w:ascii="Arial Narrow" w:hAnsi="Arial Narrow"/>
          <w:b/>
          <w:sz w:val="20"/>
        </w:rPr>
        <w:t xml:space="preserve">CONTRACT PRICE:  </w:t>
      </w:r>
      <w:r>
        <w:rPr>
          <w:rFonts w:cs="Arial Narrow" w:ascii="Arial Narrow" w:hAnsi="Arial Narrow"/>
          <w:sz w:val="20"/>
        </w:rPr>
        <w:t>Buyer shall pay a price per MMBtu (in each case, the "</w:t>
      </w:r>
      <w:r>
        <w:rPr>
          <w:rFonts w:cs="Arial Narrow" w:ascii="Arial Narrow" w:hAnsi="Arial Narrow"/>
          <w:sz w:val="20"/>
          <w:u w:val="single"/>
        </w:rPr>
        <w:t>Contract Price</w:t>
      </w:r>
      <w:r>
        <w:rPr>
          <w:rFonts w:cs="Arial Narrow" w:ascii="Arial Narrow" w:hAnsi="Arial Narrow"/>
          <w:sz w:val="20"/>
        </w:rPr>
        <w:t xml:space="preserve">"), determined on a dry basis in accordance with Buyer's transportation contract, </w:t>
      </w:r>
      <w:r>
        <w:rPr>
          <w:rFonts w:cs="Arial Narrow" w:ascii="Arial Narrow" w:hAnsi="Arial Narrow"/>
          <w:b/>
          <w:sz w:val="20"/>
        </w:rPr>
        <w:t xml:space="preserve">for volumes up to 4,550 MMBtu per day of gas delivered hereunder </w:t>
      </w:r>
      <w:r>
        <w:rPr>
          <w:rFonts w:cs="Arial Narrow" w:ascii="Arial Narrow" w:hAnsi="Arial Narrow"/>
          <w:sz w:val="20"/>
        </w:rPr>
        <w:t xml:space="preserve">each month, equal to the “Index Price” published in Inside F.E.R.C for ANR Pipeline Co. – Louisiana as listed in the table entitled “Prices of Spot Gas Delivered to Pipelines” in the first of the month issue of such publication for each month LESS $0.00500 and LESS any and all costs and expenses of Buyer attributable to the compression, dehydration, gathering, fuel, transporting and other post production operations necessary to transport the gas delivered hereunder to the Delivery Point(s) </w:t>
      </w:r>
      <w:r>
        <w:rPr>
          <w:rFonts w:cs="Arial Narrow" w:ascii="Arial Narrow" w:hAnsi="Arial Narrow"/>
          <w:b/>
          <w:sz w:val="20"/>
        </w:rPr>
        <w:t>(</w:t>
      </w:r>
      <w:r>
        <w:rPr>
          <w:rFonts w:cs="Arial Narrow" w:ascii="Arial Narrow" w:hAnsi="Arial Narrow"/>
          <w:sz w:val="20"/>
        </w:rPr>
        <w:t>the "</w:t>
      </w:r>
      <w:r>
        <w:rPr>
          <w:rFonts w:cs="Arial Narrow" w:ascii="Arial Narrow" w:hAnsi="Arial Narrow"/>
          <w:sz w:val="20"/>
          <w:u w:val="single"/>
        </w:rPr>
        <w:t>Deduction</w:t>
      </w:r>
      <w:r>
        <w:rPr>
          <w:rFonts w:cs="Arial Narrow" w:ascii="Arial Narrow" w:hAnsi="Arial Narrow"/>
          <w:sz w:val="20"/>
        </w:rPr>
        <w:t xml:space="preserve">").  </w:t>
      </w:r>
      <w:r>
        <w:rPr>
          <w:rFonts w:cs="Arial Narrow" w:ascii="Arial Narrow" w:hAnsi="Arial Narrow"/>
          <w:b/>
          <w:bCs/>
          <w:sz w:val="20"/>
        </w:rPr>
        <w:t xml:space="preserve">For volumes between 4,551 MMBtu per day-5,000 MMBtu per day </w:t>
      </w:r>
      <w:r>
        <w:rPr>
          <w:rFonts w:cs="Arial Narrow" w:ascii="Arial Narrow" w:hAnsi="Arial Narrow"/>
          <w:b/>
          <w:sz w:val="20"/>
        </w:rPr>
        <w:t xml:space="preserve">of gas delivered hereunder </w:t>
      </w:r>
      <w:r>
        <w:rPr>
          <w:rFonts w:cs="Arial Narrow" w:ascii="Arial Narrow" w:hAnsi="Arial Narrow"/>
          <w:sz w:val="20"/>
        </w:rPr>
        <w:t xml:space="preserve">each month Buyer shall pay a Contract Price equal to the </w:t>
      </w:r>
      <w:r>
        <w:rPr>
          <w:rFonts w:cs="Arial Narrow" w:ascii="Arial Narrow" w:hAnsi="Arial Narrow"/>
          <w:color w:val="000000"/>
          <w:sz w:val="20"/>
        </w:rPr>
        <w:t xml:space="preserve">"Midpoint" price stated in </w:t>
      </w:r>
      <w:r>
        <w:rPr>
          <w:rFonts w:cs="Arial Narrow" w:ascii="Arial Narrow" w:hAnsi="Arial Narrow"/>
          <w:color w:val="000000"/>
          <w:sz w:val="20"/>
          <w:u w:val="single"/>
        </w:rPr>
        <w:t>Gas Daily</w:t>
      </w:r>
      <w:r>
        <w:rPr>
          <w:rFonts w:cs="Arial Narrow" w:ascii="Arial Narrow" w:hAnsi="Arial Narrow"/>
          <w:color w:val="000000"/>
          <w:sz w:val="20"/>
        </w:rPr>
        <w:t xml:space="preserve">® (Financial Times Energy), or successor publication, in the column "Daily Price Survey" </w:t>
      </w:r>
      <w:r>
        <w:rPr>
          <w:rFonts w:cs="Arial Narrow" w:ascii="Arial Narrow" w:hAnsi="Arial Narrow"/>
          <w:sz w:val="20"/>
        </w:rPr>
        <w:t xml:space="preserve">for the relevant gas day for </w:t>
      </w:r>
      <w:r>
        <w:rPr>
          <w:rFonts w:cs="Arial Narrow" w:ascii="Arial Narrow" w:hAnsi="Arial Narrow"/>
          <w:color w:val="0000FF"/>
          <w:sz w:val="20"/>
        </w:rPr>
        <w:t>Louisiana – Onshore South – ANR</w:t>
      </w:r>
      <w:r>
        <w:rPr>
          <w:rFonts w:cs="Arial Narrow" w:ascii="Arial Narrow" w:hAnsi="Arial Narrow"/>
          <w:sz w:val="20"/>
        </w:rPr>
        <w:t xml:space="preserve"> for each gas day in which deliveries occurred and LESS the Deduction.  </w:t>
      </w:r>
    </w:p>
    <w:p>
      <w:pPr>
        <w:pStyle w:val="Normal"/>
        <w:widowControl/>
        <w:tabs>
          <w:tab w:val="clear" w:pos="720"/>
          <w:tab w:val="left" w:pos="5850" w:leader="none"/>
        </w:tabs>
        <w:jc w:val="both"/>
        <w:rPr>
          <w:rFonts w:ascii="Arial Narrow" w:hAnsi="Arial Narrow" w:cs="Arial Narrow"/>
          <w:sz w:val="20"/>
        </w:rPr>
      </w:pPr>
      <w:r>
        <w:rPr>
          <w:rFonts w:cs="Arial Narrow" w:ascii="Arial Narrow" w:hAnsi="Arial Narrow"/>
          <w:sz w:val="20"/>
        </w:rPr>
        <w:t>If any referenced index is not available in the future, and the Parties do not agree to an alternate as of the end of the first month for which the Contract Price could not be determined, then the determination of a replacement index shall be subject to arbitration.</w:t>
      </w:r>
    </w:p>
    <w:p>
      <w:pPr>
        <w:pStyle w:val="Normal"/>
        <w:widowControl/>
        <w:jc w:val="both"/>
        <w:rPr>
          <w:rFonts w:ascii="Arial Narrow" w:hAnsi="Arial Narrow" w:cs="Arial Narrow"/>
          <w:sz w:val="20"/>
        </w:rPr>
      </w:pPr>
      <w:r>
        <w:rPr>
          <w:rFonts w:cs="Arial Narrow" w:ascii="Arial Narrow" w:hAnsi="Arial Narrow"/>
          <w:sz w:val="20"/>
        </w:rPr>
      </w:r>
    </w:p>
    <w:tbl>
      <w:tblPr>
        <w:tblW w:w="10908" w:type="dxa"/>
        <w:jc w:val="start"/>
        <w:tblInd w:w="0" w:type="dxa"/>
        <w:tblLayout w:type="fixed"/>
        <w:tblCellMar>
          <w:top w:w="0" w:type="dxa"/>
          <w:start w:w="108" w:type="dxa"/>
          <w:bottom w:w="0" w:type="dxa"/>
          <w:end w:w="108" w:type="dxa"/>
        </w:tblCellMar>
      </w:tblPr>
      <w:tblGrid>
        <w:gridCol w:w="5508"/>
        <w:gridCol w:w="5400"/>
      </w:tblGrid>
      <w:tr>
        <w:trPr/>
        <w:tc>
          <w:tcPr>
            <w:tcW w:w="5508" w:type="dxa"/>
            <w:tcBorders>
              <w:top w:val="single" w:sz="6" w:space="0" w:color="000000"/>
              <w:start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NOTICE AND COMMUNICATION TO COMPANY, AS FOLLOWS:</w:t>
            </w:r>
          </w:p>
        </w:tc>
        <w:tc>
          <w:tcPr>
            <w:tcW w:w="5400" w:type="dxa"/>
            <w:tcBorders>
              <w:top w:val="single" w:sz="6" w:space="0" w:color="000000"/>
              <w:end w:val="single" w:sz="6" w:space="0" w:color="000000"/>
            </w:tcBorders>
          </w:tcPr>
          <w:p>
            <w:pPr>
              <w:pStyle w:val="Normal"/>
              <w:widowControl/>
              <w:snapToGrid w:val="false"/>
              <w:jc w:val="both"/>
              <w:rPr>
                <w:rFonts w:ascii="Arial Narrow" w:hAnsi="Arial Narrow" w:cs="Arial Narrow"/>
                <w:b/>
                <w:sz w:val="20"/>
              </w:rPr>
            </w:pPr>
            <w:r>
              <w:rPr>
                <w:rFonts w:cs="Arial Narrow" w:ascii="Arial Narrow" w:hAnsi="Arial Narrow"/>
                <w:b/>
                <w:sz w:val="20"/>
              </w:rPr>
            </w:r>
          </w:p>
        </w:tc>
      </w:tr>
      <w:tr>
        <w:trPr/>
        <w:tc>
          <w:tcPr>
            <w:tcW w:w="5508" w:type="dxa"/>
            <w:tcBorders>
              <w:start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NOTICE TO COMPANY:</w:t>
            </w:r>
          </w:p>
        </w:tc>
        <w:tc>
          <w:tcPr>
            <w:tcW w:w="5400" w:type="dxa"/>
            <w:tcBorders>
              <w:end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BILLING, INVOICES AND ACCOUNTING MATTERS TO COMPANY:</w:t>
            </w:r>
          </w:p>
        </w:tc>
      </w:tr>
      <w:tr>
        <w:trPr/>
        <w:tc>
          <w:tcPr>
            <w:tcW w:w="5508" w:type="dxa"/>
            <w:tcBorders>
              <w:start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ENA Upstream Company, LLC</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P. O. Box 4428</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 xml:space="preserve">Houston, Texas  77210-4428 </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Attn:  Deal Clearing and Documentation Group</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Facsimile No. (713) 646-4816</w:t>
            </w:r>
          </w:p>
        </w:tc>
        <w:tc>
          <w:tcPr>
            <w:tcW w:w="5400" w:type="dxa"/>
            <w:tcBorders>
              <w:end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ENA Upstream Company, LLC</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P. O. Box 4428</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Houston, Texas  77210-4428</w:t>
            </w:r>
          </w:p>
          <w:p>
            <w:pPr>
              <w:pStyle w:val="Normal"/>
              <w:widowControl/>
              <w:tabs>
                <w:tab w:val="clear" w:pos="720"/>
                <w:tab w:val="left" w:pos="5580" w:leader="none"/>
              </w:tabs>
              <w:jc w:val="both"/>
              <w:rPr>
                <w:rFonts w:ascii="Arial Narrow" w:hAnsi="Arial Narrow" w:cs="Arial Narrow"/>
                <w:sz w:val="20"/>
              </w:rPr>
            </w:pPr>
            <w:r>
              <w:rPr>
                <w:rFonts w:eastAsia="Arial Narrow" w:cs="Arial Narrow" w:ascii="Arial Narrow" w:hAnsi="Arial Narrow"/>
                <w:sz w:val="20"/>
              </w:rPr>
              <w:t xml:space="preserve"> </w:t>
            </w:r>
            <w:r>
              <w:rPr>
                <w:rFonts w:cs="Arial Narrow" w:ascii="Arial Narrow" w:hAnsi="Arial Narrow"/>
                <w:sz w:val="20"/>
              </w:rPr>
              <w:t>Attn: Client Services</w:t>
            </w:r>
          </w:p>
          <w:p>
            <w:pPr>
              <w:pStyle w:val="Normal"/>
              <w:widowControl/>
              <w:jc w:val="both"/>
              <w:rPr>
                <w:rFonts w:ascii="Arial Narrow" w:hAnsi="Arial Narrow" w:cs="Arial Narrow"/>
                <w:sz w:val="20"/>
              </w:rPr>
            </w:pPr>
            <w:r>
              <w:rPr>
                <w:rFonts w:cs="Arial Narrow" w:ascii="Arial Narrow" w:hAnsi="Arial Narrow"/>
                <w:sz w:val="20"/>
              </w:rPr>
              <w:t>Facsimile No. (713) 646-8420</w:t>
            </w:r>
          </w:p>
        </w:tc>
      </w:tr>
      <w:tr>
        <w:trPr/>
        <w:tc>
          <w:tcPr>
            <w:tcW w:w="5508" w:type="dxa"/>
            <w:tcBorders>
              <w:start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WIRE PAYMENTS TO COMPANY:</w:t>
            </w:r>
          </w:p>
        </w:tc>
        <w:tc>
          <w:tcPr>
            <w:tcW w:w="5400" w:type="dxa"/>
            <w:tcBorders>
              <w:end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NOMINATIONS TO COMPANY:</w:t>
            </w:r>
          </w:p>
        </w:tc>
      </w:tr>
      <w:tr>
        <w:trPr/>
        <w:tc>
          <w:tcPr>
            <w:tcW w:w="5508" w:type="dxa"/>
            <w:tcBorders>
              <w:start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Bank of America, N.A. Dallas</w:t>
            </w:r>
          </w:p>
        </w:tc>
        <w:tc>
          <w:tcPr>
            <w:tcW w:w="5400" w:type="dxa"/>
            <w:tcBorders>
              <w:end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1(800)356-9427/1(800)FLOWGAS or George Smith (713) 853-6993</w:t>
            </w:r>
          </w:p>
        </w:tc>
      </w:tr>
      <w:tr>
        <w:trPr/>
        <w:tc>
          <w:tcPr>
            <w:tcW w:w="5508" w:type="dxa"/>
            <w:tcBorders>
              <w:start w:val="single" w:sz="6" w:space="0" w:color="000000"/>
            </w:tcBorders>
          </w:tcPr>
          <w:p>
            <w:pPr>
              <w:pStyle w:val="Normal"/>
              <w:widowControl/>
              <w:jc w:val="both"/>
              <w:rPr/>
            </w:pPr>
            <w:r>
              <w:rPr>
                <w:rFonts w:cs="Arial Narrow" w:ascii="Arial Narrow" w:hAnsi="Arial Narrow"/>
                <w:sz w:val="20"/>
              </w:rPr>
              <w:t xml:space="preserve">ABA Routing: </w:t>
            </w:r>
            <w:r>
              <w:rPr>
                <w:rFonts w:cs="Arial Narrow" w:ascii="Arial Narrow" w:hAnsi="Arial Narrow"/>
                <w:b/>
                <w:sz w:val="20"/>
              </w:rPr>
              <w:t>111000012</w:t>
            </w:r>
          </w:p>
        </w:tc>
        <w:tc>
          <w:tcPr>
            <w:tcW w:w="5400" w:type="dxa"/>
            <w:tcBorders>
              <w:end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SCHEDULING CONFIRMATIONS TO COMPANY:</w:t>
            </w:r>
          </w:p>
        </w:tc>
      </w:tr>
      <w:tr>
        <w:trPr/>
        <w:tc>
          <w:tcPr>
            <w:tcW w:w="5508" w:type="dxa"/>
            <w:tcBorders>
              <w:start w:val="single" w:sz="6" w:space="0" w:color="000000"/>
              <w:bottom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 xml:space="preserve">Account: </w:t>
            </w:r>
            <w:r>
              <w:rPr>
                <w:rFonts w:cs="Arial Narrow" w:ascii="Arial Narrow" w:hAnsi="Arial Narrow"/>
                <w:b/>
                <w:sz w:val="18"/>
              </w:rPr>
              <w:t>3751777485</w:t>
            </w:r>
          </w:p>
        </w:tc>
        <w:tc>
          <w:tcPr>
            <w:tcW w:w="5400" w:type="dxa"/>
            <w:tcBorders>
              <w:bottom w:val="single" w:sz="6" w:space="0" w:color="000000"/>
              <w:end w:val="single" w:sz="6" w:space="0" w:color="000000"/>
            </w:tcBorders>
          </w:tcPr>
          <w:p>
            <w:pPr>
              <w:pStyle w:val="Normal"/>
              <w:widowControl/>
              <w:jc w:val="both"/>
              <w:rPr>
                <w:rFonts w:ascii="Arial Narrow" w:hAnsi="Arial Narrow" w:cs="Arial Narrow"/>
                <w:sz w:val="20"/>
              </w:rPr>
            </w:pPr>
            <w:r>
              <w:rPr>
                <w:rFonts w:cs="Arial Narrow" w:ascii="Arial Narrow" w:hAnsi="Arial Narrow"/>
                <w:sz w:val="20"/>
              </w:rPr>
              <w:t>Attn: ENA Upstream Gas Trading, Facsimile No.: (713) 646-2531</w:t>
            </w:r>
          </w:p>
        </w:tc>
      </w:tr>
    </w:tbl>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pPr>
      <w:r>
        <w:rPr>
          <w:rFonts w:cs="Arial Narrow" w:ascii="Arial Narrow" w:hAnsi="Arial Narrow"/>
          <w:sz w:val="20"/>
        </w:rPr>
        <w:t>This Confirmation is being provided pursuant to and in accordance with the ENFOLIO PURCHASE FROM COMMITTED WELL(S) GENERAL TERMS &amp; CONDITIONS (the "</w:t>
      </w:r>
      <w:r>
        <w:rPr>
          <w:rFonts w:cs="Arial Narrow" w:ascii="Arial Narrow" w:hAnsi="Arial Narrow"/>
          <w:sz w:val="20"/>
          <w:u w:val="single"/>
        </w:rPr>
        <w:t>GTC</w:t>
      </w:r>
      <w:r>
        <w:rPr>
          <w:rFonts w:cs="Arial Narrow" w:ascii="Arial Narrow" w:hAnsi="Arial Narrow"/>
          <w:sz w:val="20"/>
        </w:rPr>
        <w:t>") and constitutes part of and is subject to all of the provisions of the GTC.  Company does hereby adopt its letterhead, including its address, as its signature in respect of the identification of Company and the authentication by Company of this Confirmation.  Any objection of Customer to this Confirmation must be made by written notice to Company within 10 days of receipt of same.</w:t>
      </w:r>
      <w:r>
        <w:rPr>
          <w:rFonts w:cs="Arial Narrow" w:ascii="Arial Narrow" w:hAnsi="Arial Narrow"/>
          <w:b/>
          <w:sz w:val="20"/>
        </w:rPr>
        <w:t xml:space="preserve">  </w:t>
      </w:r>
      <w:r>
        <w:rPr>
          <w:rFonts w:cs="Arial Narrow" w:ascii="Arial Narrow" w:hAnsi="Arial Narrow"/>
          <w:sz w:val="20"/>
        </w:rPr>
        <w:t xml:space="preserve">This Confirmation shall supersede all prior confirmations of the Transaction issued thereunder, if any, from and after the commencement date of the above stated Period of Delivery, but shall have no effect on such prior confirmations as they apply to dates prior to the commencement date of the above stated Period of Delivery. </w:t>
      </w:r>
      <w:r>
        <w:rPr>
          <w:rFonts w:cs="Arial Narrow" w:ascii="Arial Narrow" w:hAnsi="Arial Narrow"/>
          <w:b/>
          <w:sz w:val="20"/>
        </w:rPr>
        <w:t>The parties intend that this GTC and the Confirmation shall govern the Transaction until superseded by contract restatement.</w:t>
      </w:r>
      <w:r>
        <w:rPr>
          <w:rFonts w:cs="Arial Narrow" w:ascii="Arial Narrow" w:hAnsi="Arial Narrow"/>
          <w:sz w:val="20"/>
        </w:rPr>
        <w:t xml:space="preserve">  Each party shall not disclose the terms of this Transaction to a third party (other than the party's and its affiliates' employees, lenders, counsel, or accountants, or prospective purchasers hereof,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GTC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  </w:t>
        <w:tab/>
        <w:tab/>
        <w:tab/>
        <w:tab/>
        <w:tab/>
        <w:tab/>
        <w:tab/>
        <w:tab/>
        <w:tab/>
        <w:tab/>
        <w:tab/>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b/>
          <w:bCs/>
          <w:sz w:val="20"/>
        </w:rPr>
      </w:pPr>
      <w:r>
        <w:rPr>
          <w:rFonts w:cs="Arial Narrow" w:ascii="Arial Narrow" w:hAnsi="Arial Narrow"/>
          <w:b/>
          <w:bCs/>
          <w:sz w:val="20"/>
        </w:rPr>
        <w:t>Riceland Petroleum Company</w:t>
        <w:tab/>
        <w:tab/>
        <w:tab/>
        <w:tab/>
        <w:tab/>
        <w:tab/>
        <w:tab/>
        <w:t>ENA Upstream Company, L.L.C.</w:t>
      </w:r>
    </w:p>
    <w:p>
      <w:pPr>
        <w:pStyle w:val="Normal"/>
        <w:widowControl/>
        <w:jc w:val="both"/>
        <w:rPr>
          <w:rFonts w:ascii="Arial Narrow" w:hAnsi="Arial Narrow" w:cs="Arial Narrow"/>
          <w:sz w:val="20"/>
        </w:rPr>
      </w:pPr>
      <w:r>
        <w:rPr>
          <w:rFonts w:cs="Arial Narrow" w:ascii="Arial Narrow" w:hAnsi="Arial Narrow"/>
          <w:sz w:val="20"/>
        </w:rPr>
        <w:tab/>
        <w:tab/>
        <w:tab/>
        <w:tab/>
        <w:tab/>
        <w:tab/>
        <w:tab/>
        <w:tab/>
        <w:tab/>
        <w:t>By Enron North America Corp.</w:t>
      </w:r>
    </w:p>
    <w:p>
      <w:pPr>
        <w:pStyle w:val="Normal"/>
        <w:widowControl/>
        <w:jc w:val="both"/>
        <w:rPr>
          <w:rFonts w:ascii="Arial Narrow" w:hAnsi="Arial Narrow" w:cs="Arial Narrow"/>
          <w:sz w:val="20"/>
        </w:rPr>
      </w:pPr>
      <w:r>
        <w:rPr>
          <w:rFonts w:cs="Arial Narrow" w:ascii="Arial Narrow" w:hAnsi="Arial Narrow"/>
          <w:sz w:val="20"/>
        </w:rPr>
        <w:tab/>
        <w:tab/>
        <w:tab/>
        <w:tab/>
        <w:tab/>
        <w:tab/>
        <w:tab/>
        <w:tab/>
        <w:tab/>
        <w:t>Its Managing Member</w:t>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t>By:</w:t>
        <w:tab/>
        <w:tab/>
        <w:tab/>
        <w:tab/>
        <w:tab/>
        <w:tab/>
        <w:tab/>
        <w:tab/>
        <w:tab/>
        <w:t>By:</w:t>
      </w:r>
    </w:p>
    <w:p>
      <w:pPr>
        <w:pStyle w:val="Normal"/>
        <w:widowControl/>
        <w:jc w:val="both"/>
        <w:rPr>
          <w:rFonts w:ascii="Arial Narrow" w:hAnsi="Arial Narrow" w:cs="Arial Narrow"/>
          <w:sz w:val="20"/>
        </w:rPr>
      </w:pPr>
      <w:r>
        <w:rPr>
          <w:rFonts w:cs="Arial Narrow" w:ascii="Arial Narrow" w:hAnsi="Arial Narrow"/>
          <w:sz w:val="20"/>
        </w:rPr>
        <w:t>Name:</w:t>
        <w:tab/>
        <w:tab/>
        <w:tab/>
        <w:tab/>
        <w:tab/>
        <w:tab/>
        <w:tab/>
        <w:tab/>
        <w:tab/>
        <w:t>Name:</w:t>
      </w:r>
    </w:p>
    <w:p>
      <w:pPr>
        <w:pStyle w:val="Normal"/>
        <w:widowControl/>
        <w:jc w:val="both"/>
        <w:rPr>
          <w:rFonts w:ascii="Arial Narrow" w:hAnsi="Arial Narrow" w:cs="Arial Narrow"/>
          <w:sz w:val="20"/>
        </w:rPr>
      </w:pPr>
      <w:r>
        <w:rPr>
          <w:rFonts w:cs="Arial Narrow" w:ascii="Arial Narrow" w:hAnsi="Arial Narrow"/>
          <w:sz w:val="20"/>
        </w:rPr>
        <w:t>Title:</w:t>
        <w:tab/>
        <w:tab/>
        <w:tab/>
        <w:tab/>
        <w:tab/>
        <w:tab/>
        <w:tab/>
        <w:tab/>
        <w:tab/>
        <w:t>Title:</w:t>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r>
    </w:p>
    <w:sectPr>
      <w:footerReference w:type="default" r:id="rId3"/>
      <w:footerReference w:type="first" r:id="rId4"/>
      <w:type w:val="nextPage"/>
      <w:pgSz w:w="12240" w:h="15840"/>
      <w:pgMar w:left="720" w:right="720" w:gutter="0" w:header="0" w:top="720"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Justified">
    <w:name w:val="Justified"/>
    <w:basedOn w:val="Normal"/>
    <w:next w:val="Heading2"/>
    <w:qFormat/>
    <w:pPr>
      <w:spacing w:before="0" w:after="120"/>
      <w:jc w:val="both"/>
    </w:pPr>
    <w:rPr>
      <w:sz w:val="26"/>
    </w:rPr>
  </w:style>
  <w:style w:type="paragraph" w:styleId="BodyText2">
    <w:name w:val="Body Text 2"/>
    <w:basedOn w:val="Normal"/>
    <w:qFormat/>
    <w:pPr>
      <w:tabs>
        <w:tab w:val="clear" w:pos="720"/>
        <w:tab w:val="left" w:pos="2412" w:leader="none"/>
      </w:tabs>
      <w:ind w:hanging="0" w:start="1962" w:end="0"/>
    </w:pPr>
    <w:rPr>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PERSONAL.DOT</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2001-09-17T19:23:00Z</dcterms:created>
  <dc:creator>ECT</dc:creator>
  <dc:description/>
  <dc:language>en-CA</dc:language>
  <cp:lastModifiedBy>Richard J Deming</cp:lastModifiedBy>
  <dcterms:modified xsi:type="dcterms:W3CDTF">2001-09-17T19:49:00Z</dcterms:modified>
  <cp:revision>2</cp:revision>
  <dc:subject/>
  <dc:title>969604</dc:title>
</cp:coreProperties>
</file>