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r>
    </w:p>
    <w:p>
      <w:pPr>
        <w:pStyle w:val="Normal"/>
        <w:jc w:val="center"/>
        <w:rPr>
          <w:b/>
          <w:bCs/>
        </w:rPr>
      </w:pPr>
      <w:r>
        <w:rPr>
          <w:b/>
          <w:bCs/>
        </w:rPr>
        <w:t>Explanatory Note for Tax Provisions of</w:t>
      </w:r>
    </w:p>
    <w:p>
      <w:pPr>
        <w:pStyle w:val="Normal"/>
        <w:jc w:val="center"/>
        <w:rPr>
          <w:b/>
          <w:bCs/>
        </w:rPr>
      </w:pPr>
      <w:r>
        <w:rPr>
          <w:b/>
          <w:bCs/>
        </w:rPr>
        <w:t>2001 ISDA Master Agreement Protocol</w:t>
      </w:r>
    </w:p>
    <w:p>
      <w:pPr>
        <w:pStyle w:val="Normal"/>
        <w:jc w:val="center"/>
        <w:rPr>
          <w:b/>
          <w:bCs/>
        </w:rPr>
      </w:pPr>
      <w:r>
        <w:rPr>
          <w:b/>
          <w:bCs/>
        </w:rPr>
      </w:r>
    </w:p>
    <w:p>
      <w:pPr>
        <w:pStyle w:val="BodyText"/>
        <w:rPr/>
      </w:pPr>
      <w:r>
        <w:rPr/>
      </w:r>
    </w:p>
    <w:p>
      <w:pPr>
        <w:pStyle w:val="BodyText"/>
        <w:rPr>
          <w:u w:val="single"/>
        </w:rPr>
      </w:pPr>
      <w:r>
        <w:rPr>
          <w:u w:val="single"/>
        </w:rPr>
        <w:t>Representations To Qualify for Exemption from U.S. Information Reporting</w:t>
      </w:r>
    </w:p>
    <w:p>
      <w:pPr>
        <w:pStyle w:val="BodyText"/>
        <w:rPr>
          <w:u w:val="single"/>
        </w:rPr>
      </w:pPr>
      <w:r>
        <w:rPr>
          <w:u w:val="single"/>
        </w:rPr>
      </w:r>
    </w:p>
    <w:p>
      <w:pPr>
        <w:pStyle w:val="BodyText"/>
        <w:rPr/>
      </w:pPr>
      <w:r>
        <w:rPr/>
        <w:t>Parties that have entered into a 1992 ISDA Master Agreement (Multicurrency – Cross Border) (“ISDA Master Agreement”) with U.S. persons (or a person who may be subject to U.S. information reporting and backup withholding rules) may find it convenient to make the appropriate payee representations in paragraphs (a) through (d) [(e)] of the Tax Provisions of the 2001 ISDA Master Agreement Protocol (“Protocol”).  By doing so, they will be considered to have made the representation to any of its counterparties who adhere to the Protocol regardless of the annexes to which such counterparties adhere, thereby reducing the number of counterparties to whom they may need to make the representation separately.  The appropriate representations to be provided will depend on the payee's U.S. tax status, as explained below.  References to paragraph are to the specified paragraph of Annex 10 to the Protocol.  “Office” has the meaning set forth in Section 14 of the ISDA Master Agreement.</w:t>
      </w:r>
    </w:p>
    <w:p>
      <w:pPr>
        <w:pStyle w:val="Normal"/>
        <w:jc w:val="both"/>
        <w:rPr/>
      </w:pPr>
      <w:r>
        <w:rPr/>
      </w:r>
    </w:p>
    <w:p>
      <w:pPr>
        <w:pStyle w:val="Heading1"/>
        <w:ind w:hanging="0" w:start="0"/>
        <w:rPr>
          <w:i/>
          <w:i/>
          <w:iCs/>
          <w:u w:val="none"/>
        </w:rPr>
      </w:pPr>
      <w:r>
        <w:rPr>
          <w:i/>
          <w:iCs/>
          <w:u w:val="none"/>
        </w:rPr>
        <w:t>Payee Is A U.S. Person</w:t>
      </w:r>
    </w:p>
    <w:p>
      <w:pPr>
        <w:pStyle w:val="Normal"/>
        <w:rPr>
          <w:i/>
          <w:i/>
          <w:iCs/>
          <w:u w:val="none"/>
        </w:rPr>
      </w:pPr>
      <w:r>
        <w:rPr>
          <w:i/>
          <w:iCs/>
          <w:u w:val="none"/>
        </w:rPr>
      </w:r>
    </w:p>
    <w:p>
      <w:pPr>
        <w:pStyle w:val="Normal"/>
        <w:jc w:val="both"/>
        <w:rPr/>
      </w:pPr>
      <w:r>
        <w:rPr/>
        <w:t>If the payee is a U.S. person, it should provide the representation in paragraph (a).  If the payee provides the representation in paragraph (a), a party adhering to the Protocol that is required to make any payment to that payee will not be required to report payments on IRS Form 1042-S.  The payer nevertheless may be required to report on IRS Form 1099 unless the payee is a corporation (or other “exempt recipient”).  If reporting is required, backup withholding also will be required if the payee fails to provide a valid IRS taxpayer identification number to the payer.  Payers should obtain this information separately, if necessary.</w:t>
      </w:r>
    </w:p>
    <w:p>
      <w:pPr>
        <w:pStyle w:val="Normal"/>
        <w:jc w:val="both"/>
        <w:rPr/>
      </w:pPr>
      <w:r>
        <w:rPr/>
      </w:r>
    </w:p>
    <w:p>
      <w:pPr>
        <w:pStyle w:val="Normal"/>
        <w:jc w:val="both"/>
        <w:rPr/>
      </w:pPr>
      <w:r>
        <w:rPr/>
        <w:t>A U.S. party must indicate that Annex 10 is applicable and make the representations set forth in paragraph (a) in order for amendments pursuant to the Protocol with a non-U.S. counterparty to be applicable.  The representation only applies in cases where the underlying master agreement specifies a U.S. Office.</w:t>
      </w:r>
    </w:p>
    <w:p>
      <w:pPr>
        <w:pStyle w:val="Normal"/>
        <w:jc w:val="both"/>
        <w:rPr/>
      </w:pPr>
      <w:r>
        <w:rPr/>
        <w:t xml:space="preserve"> </w:t>
      </w:r>
    </w:p>
    <w:p>
      <w:pPr>
        <w:pStyle w:val="Heading1"/>
        <w:ind w:hanging="0" w:start="0"/>
        <w:rPr>
          <w:i/>
          <w:i/>
          <w:iCs/>
          <w:u w:val="none"/>
        </w:rPr>
      </w:pPr>
      <w:r>
        <w:rPr>
          <w:i/>
          <w:iCs/>
          <w:u w:val="none"/>
        </w:rPr>
        <w:t>Payee Is Not A U.S. Person and is a Multibranch Party</w:t>
      </w:r>
    </w:p>
    <w:p>
      <w:pPr>
        <w:pStyle w:val="Heading3"/>
        <w:ind w:hanging="0" w:start="0" w:end="0"/>
        <w:rPr>
          <w:i/>
          <w:i/>
          <w:iCs/>
          <w:u w:val="none"/>
        </w:rPr>
      </w:pPr>
      <w:r>
        <w:rPr>
          <w:i/>
          <w:iCs/>
          <w:u w:val="none"/>
        </w:rPr>
      </w:r>
    </w:p>
    <w:p>
      <w:pPr>
        <w:pStyle w:val="Heading3"/>
        <w:ind w:hanging="720" w:end="0"/>
        <w:rPr>
          <w:u w:val="none"/>
        </w:rPr>
      </w:pPr>
      <w:r>
        <w:rPr>
          <w:u w:val="none"/>
        </w:rPr>
        <w:t>A.</w:t>
        <w:tab/>
        <w:t>Payee may not act through a U.S. Office</w:t>
      </w:r>
    </w:p>
    <w:p>
      <w:pPr>
        <w:pStyle w:val="Normal"/>
        <w:ind w:firstLine="720" w:start="720" w:end="0"/>
        <w:jc w:val="both"/>
        <w:rPr>
          <w:u w:val="none"/>
        </w:rPr>
      </w:pPr>
      <w:r>
        <w:rPr>
          <w:u w:val="none"/>
        </w:rPr>
      </w:r>
    </w:p>
    <w:p>
      <w:pPr>
        <w:pStyle w:val="Normal"/>
        <w:jc w:val="both"/>
        <w:rPr/>
      </w:pPr>
      <w:r>
        <w:rPr/>
        <w:t>If a payee cannot provide the representation in paragraph (a), it may be able to provide the representation in paragraph (b) if it is a multibranch party and it not proposing to act through a U.S. Office under the ISDA Master Agreement.  If the payee provides this representation, the payer generally will not be required to report payments on either Form 1042-S or Form 1099.</w:t>
      </w:r>
    </w:p>
    <w:p>
      <w:pPr>
        <w:pStyle w:val="Heading3"/>
        <w:ind w:hanging="0" w:start="0" w:end="0"/>
        <w:rPr>
          <w:u w:val="none"/>
        </w:rPr>
      </w:pPr>
      <w:r>
        <w:rPr>
          <w:u w:val="none"/>
        </w:rPr>
      </w:r>
    </w:p>
    <w:p>
      <w:pPr>
        <w:pStyle w:val="Heading3"/>
        <w:ind w:hanging="0" w:start="0" w:end="0"/>
        <w:rPr>
          <w:u w:val="none"/>
        </w:rPr>
      </w:pPr>
      <w:r>
        <w:rPr>
          <w:u w:val="none"/>
        </w:rPr>
        <w:t>B.</w:t>
        <w:tab/>
        <w:t>Payee is a multibranch party that may act through a U.S. Office</w:t>
      </w:r>
    </w:p>
    <w:p>
      <w:pPr>
        <w:pStyle w:val="Normal"/>
        <w:ind w:firstLine="720" w:start="720" w:end="0"/>
        <w:jc w:val="both"/>
        <w:rPr/>
      </w:pPr>
      <w:r>
        <w:rPr/>
      </w:r>
    </w:p>
    <w:p>
      <w:pPr>
        <w:pStyle w:val="BodyText"/>
        <w:rPr/>
      </w:pPr>
      <w:r>
        <w:rPr/>
        <w:t xml:space="preserve">If a payee can give neither the representation in paragraph (a) nor that in paragraph (b), it may be able to provide the representation in paragraph (c) if it is a multibranch party that may act through Offices both within and outside the United States.  If the payee provides this representation, the payer will not be required to report payments on IRS Form 1099.  The payer will not be required to report on IRS Form 1042-S payments to an address outside the United States or to a bank account outside the United States (because the payee will have represented that it is a non-U.S. branch of a foreign person with respect to such payments).  IRS Form 1042-S reporting may be required for other payments.  </w:t>
      </w:r>
    </w:p>
    <w:p>
      <w:pPr>
        <w:pStyle w:val="BodyText"/>
        <w:rPr/>
      </w:pPr>
      <w:r>
        <w:rPr/>
      </w:r>
    </w:p>
    <w:p>
      <w:pPr>
        <w:pStyle w:val="Heading4"/>
        <w:rPr>
          <w:u w:val="single"/>
        </w:rPr>
      </w:pPr>
      <w:r>
        <w:rPr/>
        <w:t>Non-U.S. Payees that are not Multibranch Parties</w:t>
      </w:r>
    </w:p>
    <w:p>
      <w:pPr>
        <w:pStyle w:val="Normal"/>
        <w:jc w:val="both"/>
        <w:rPr>
          <w:u w:val="single"/>
        </w:rPr>
      </w:pPr>
      <w:r>
        <w:rPr>
          <w:u w:val="single"/>
        </w:rPr>
      </w:r>
    </w:p>
    <w:p>
      <w:pPr>
        <w:pStyle w:val="BodyText"/>
        <w:rPr/>
      </w:pPr>
      <w:r>
        <w:rPr/>
        <w:t xml:space="preserve">If a payee cannot give any of the foregoing representations, it may be able to provide the representation in paragraph (d) if it is a “foreign person” for purposes of IRS regulations.  If the payee provides this representation, the payer will not be required to report any payments on IRS Form 1099.  Reporting on IRS Form 1042-S may be required.  </w:t>
      </w:r>
    </w:p>
    <w:p>
      <w:pPr>
        <w:pStyle w:val="Normal"/>
        <w:jc w:val="both"/>
        <w:rPr/>
      </w:pPr>
      <w:r>
        <w:rPr/>
      </w:r>
    </w:p>
    <w:p>
      <w:pPr>
        <w:pStyle w:val="Heading5"/>
        <w:ind w:hanging="0" w:start="0"/>
        <w:rPr/>
      </w:pPr>
      <w:r>
        <w:rPr/>
        <w:t>Non-U.S. Payees with Multibranch Offices</w:t>
      </w:r>
    </w:p>
    <w:p>
      <w:pPr>
        <w:pStyle w:val="Normal"/>
        <w:jc w:val="both"/>
        <w:rPr/>
      </w:pPr>
      <w:r>
        <w:rPr/>
      </w:r>
    </w:p>
    <w:p>
      <w:pPr>
        <w:pStyle w:val="Normal"/>
        <w:jc w:val="both"/>
        <w:rPr/>
      </w:pPr>
      <w:r>
        <w:rPr/>
        <w:t>[If a payee is a non-U.S. person and the underlying master agreement with its counterparty specifies a U.S. Offices for multibranch purposes, it is a U.S. branch of a foreign person and must make the representation in paragraph (e).  If a payee is a non-U.S. person and the underlying master agreement with its counterparty does not specify a U.S. Office for multibranch purposes, it is a non-U.S. branch of a foreign person and must make the representation in paragraph (e).]</w:t>
      </w:r>
    </w:p>
    <w:p>
      <w:pPr>
        <w:pStyle w:val="Normal"/>
        <w:jc w:val="both"/>
        <w:rPr/>
      </w:pPr>
      <w:r>
        <w:rPr/>
      </w:r>
    </w:p>
    <w:p>
      <w:pPr>
        <w:pStyle w:val="Heading2"/>
        <w:ind w:hanging="0" w:start="0"/>
        <w:rPr>
          <w:b w:val="false"/>
          <w:bCs w:val="false"/>
        </w:rPr>
      </w:pPr>
      <w:r>
        <w:rPr>
          <w:b w:val="false"/>
          <w:bCs w:val="false"/>
        </w:rPr>
        <w:t>Different Rules May Apply to Payments Treated as Interest for U.S. Tax Purposes</w:t>
      </w:r>
    </w:p>
    <w:p>
      <w:pPr>
        <w:pStyle w:val="Normal"/>
        <w:jc w:val="both"/>
        <w:rPr>
          <w:b/>
          <w:bCs/>
          <w:u w:val="single"/>
        </w:rPr>
      </w:pPr>
      <w:r>
        <w:rPr>
          <w:b/>
          <w:bCs/>
          <w:u w:val="single"/>
        </w:rPr>
      </w:r>
    </w:p>
    <w:p>
      <w:pPr>
        <w:pStyle w:val="BodyText"/>
        <w:rPr/>
      </w:pPr>
      <w:r>
        <w:rPr/>
        <w:t>Transactions providing for up-front yield adjustment or other non-periodic payments by a non-U.S. counterparty to a U.S. person may be treated as involving loans to the U.S. person if those payments are “significant” within the meaning of IRS regulations.  In that case, payments by the U.S. person would be treated as including interest, which is potentially subject to a 30 percent withholding tax.  Representations and forms not discussed here will be needed to avoid or minimize withholding on such payments.  Thus, tax counsel should be consulted if a swap includes an up-front payment yield-adjustment fee or other nonperiodic payment.</w:t>
      </w:r>
    </w:p>
    <w:p>
      <w:pPr>
        <w:pStyle w:val="BodyText"/>
        <w:rPr/>
      </w:pPr>
      <w:r>
        <w:rPr/>
      </w:r>
    </w:p>
    <w:p>
      <w:pPr>
        <w:pStyle w:val="Heading1"/>
        <w:ind w:hanging="0" w:start="0"/>
        <w:rPr/>
      </w:pPr>
      <w:r>
        <w:rPr/>
        <w:t>Summary Chart</w:t>
      </w:r>
    </w:p>
    <w:p>
      <w:pPr>
        <w:pStyle w:val="Normal"/>
        <w:jc w:val="both"/>
        <w:rPr/>
      </w:pPr>
      <w:r>
        <w:rPr/>
      </w:r>
    </w:p>
    <w:p>
      <w:pPr>
        <w:pStyle w:val="Normal"/>
        <w:ind w:end="-720"/>
        <w:jc w:val="both"/>
        <w:rPr/>
      </w:pPr>
      <w:r>
        <w:rPr>
          <w:u w:val="single"/>
        </w:rPr>
        <w:t>If payee is…</w:t>
      </w:r>
      <w:r>
        <w:rPr/>
        <w:tab/>
        <w:tab/>
        <w:tab/>
        <w:tab/>
        <w:tab/>
        <w:tab/>
      </w:r>
      <w:r>
        <w:rPr>
          <w:u w:val="single"/>
        </w:rPr>
        <w:t>then make the following representation</w:t>
      </w:r>
    </w:p>
    <w:p>
      <w:pPr>
        <w:pStyle w:val="Normal"/>
        <w:jc w:val="both"/>
        <w:rPr/>
      </w:pPr>
      <w:r>
        <w:rPr/>
        <w:t>A U.S. person</w:t>
        <w:tab/>
        <w:tab/>
        <w:tab/>
        <w:tab/>
        <w:tab/>
        <w:tab/>
        <w:t xml:space="preserve">paragraph (a) in Annex 10 </w:t>
      </w:r>
    </w:p>
    <w:p>
      <w:pPr>
        <w:pStyle w:val="Normal"/>
        <w:jc w:val="both"/>
        <w:rPr/>
      </w:pPr>
      <w:r>
        <w:rPr/>
      </w:r>
    </w:p>
    <w:p>
      <w:pPr>
        <w:pStyle w:val="Normal"/>
        <w:jc w:val="both"/>
        <w:rPr/>
      </w:pPr>
      <w:r>
        <w:rPr/>
        <w:t>A non-U.S. person that is a Multibranch Party</w:t>
      </w:r>
    </w:p>
    <w:p>
      <w:pPr>
        <w:pStyle w:val="Normal"/>
        <w:jc w:val="both"/>
        <w:rPr/>
      </w:pPr>
      <w:r>
        <w:rPr/>
        <w:t>with no U.S. Office</w:t>
        <w:tab/>
        <w:tab/>
        <w:tab/>
        <w:tab/>
        <w:tab/>
        <w:t>paragraph (b) in Annex 10</w:t>
      </w:r>
    </w:p>
    <w:p>
      <w:pPr>
        <w:pStyle w:val="Normal"/>
        <w:jc w:val="both"/>
        <w:rPr/>
      </w:pPr>
      <w:r>
        <w:rPr/>
      </w:r>
    </w:p>
    <w:p>
      <w:pPr>
        <w:pStyle w:val="Normal"/>
        <w:jc w:val="both"/>
        <w:rPr/>
      </w:pPr>
      <w:r>
        <w:rPr/>
        <w:t>A non-U.S. person with U.S. Office</w:t>
        <w:tab/>
        <w:tab/>
        <w:tab/>
        <w:t>paragraph (c) in Annex 10</w:t>
      </w:r>
    </w:p>
    <w:p>
      <w:pPr>
        <w:pStyle w:val="Normal"/>
        <w:jc w:val="both"/>
        <w:rPr/>
      </w:pPr>
      <w:r>
        <w:rPr/>
      </w:r>
    </w:p>
    <w:p>
      <w:pPr>
        <w:pStyle w:val="Normal"/>
        <w:jc w:val="both"/>
        <w:rPr/>
      </w:pPr>
      <w:r>
        <w:rPr>
          <w:sz w:val="20"/>
        </w:rPr>
        <w:t>None of the above and no representation can be given</w:t>
      </w:r>
      <w:r>
        <w:rPr/>
        <w:tab/>
        <w:tab/>
        <w:t>paragraph (d) in Annex 10</w:t>
      </w:r>
    </w:p>
    <w:p>
      <w:pPr>
        <w:pStyle w:val="Normal"/>
        <w:jc w:val="both"/>
        <w:rPr/>
      </w:pPr>
      <w:r>
        <w:rPr/>
      </w:r>
    </w:p>
    <w:p>
      <w:pPr>
        <w:pStyle w:val="Normal"/>
        <w:jc w:val="both"/>
        <w:rPr/>
      </w:pPr>
      <w:r>
        <w:rPr/>
        <w:t>[A non-U.S. person with Multibranch Offices</w:t>
      </w:r>
    </w:p>
    <w:p>
      <w:pPr>
        <w:pStyle w:val="Normal"/>
        <w:jc w:val="both"/>
        <w:rPr/>
      </w:pPr>
      <w:r>
        <w:rPr/>
        <w:t>for which a U.S. Office is specified in its</w:t>
      </w:r>
    </w:p>
    <w:p>
      <w:pPr>
        <w:pStyle w:val="Normal"/>
        <w:jc w:val="both"/>
        <w:rPr/>
      </w:pPr>
      <w:r>
        <w:rPr/>
        <w:t>ISDA Master Agreement]</w:t>
        <w:tab/>
        <w:tab/>
        <w:tab/>
        <w:tab/>
        <w:t>paragraph (e) in Annex 10</w:t>
      </w:r>
    </w:p>
    <w:p>
      <w:pPr>
        <w:pStyle w:val="Normal"/>
        <w:jc w:val="both"/>
        <w:rPr/>
      </w:pPr>
      <w:r>
        <w:rPr/>
      </w:r>
    </w:p>
    <w:p>
      <w:pPr>
        <w:pStyle w:val="Normal"/>
        <w:jc w:val="both"/>
        <w:rPr/>
      </w:pPr>
      <w:r>
        <w:rPr/>
        <w:t>[A non-U.S. person with Multibranch Offices</w:t>
      </w:r>
    </w:p>
    <w:p>
      <w:pPr>
        <w:pStyle w:val="Normal"/>
        <w:jc w:val="both"/>
        <w:rPr/>
      </w:pPr>
      <w:r>
        <w:rPr/>
        <w:t>for which a U.S. Office is not specified in its</w:t>
      </w:r>
    </w:p>
    <w:p>
      <w:pPr>
        <w:pStyle w:val="Normal"/>
        <w:jc w:val="both"/>
        <w:rPr/>
      </w:pPr>
      <w:r>
        <w:rPr/>
        <w:t>ISDA Master Agreement]</w:t>
        <w:tab/>
        <w:tab/>
        <w:tab/>
        <w:tab/>
        <w:t>paragraph (e) in Annex 10</w:t>
      </w:r>
    </w:p>
    <w:p>
      <w:pPr>
        <w:pStyle w:val="Heading1"/>
        <w:ind w:hanging="0" w:start="0"/>
        <w:rPr/>
      </w:pPr>
      <w:r>
        <w:rPr/>
      </w:r>
    </w:p>
    <w:p>
      <w:pPr>
        <w:pStyle w:val="Heading1"/>
        <w:ind w:hanging="0" w:start="0"/>
        <w:rPr/>
      </w:pPr>
      <w:r>
        <w:rPr/>
        <w:t>Important Note for Swaps Involving Foreign Partnerships or Trusts</w:t>
      </w:r>
    </w:p>
    <w:p>
      <w:pPr>
        <w:pStyle w:val="Normal"/>
        <w:jc w:val="both"/>
        <w:rPr/>
      </w:pPr>
      <w:r>
        <w:rPr/>
        <w:t xml:space="preserve">Application of the new IRS regulations to payments to a foreign (non-U.S.) partnership or trust may depend on the tax status of the partnership or trust (including whether it qualifies as a withholding foreign partnership or withholding foreign trust) and on the status of its partners or beneficiaries.  Parties to a transaction involving payments to a foreign partnership or trust are urged to consult with their tax advisers regarding reliance on the representations in paragraphs (b), (c) and (d) [(e)] of Annex 10. </w:t>
      </w:r>
    </w:p>
    <w:p>
      <w:pPr>
        <w:pStyle w:val="Normal"/>
        <w:jc w:val="both"/>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ind w:firstLine="720" w:start="720" w:end="0"/>
      <w:jc w:val="both"/>
      <w:outlineLvl w:val="2"/>
    </w:pPr>
    <w:rPr>
      <w:u w:val="single"/>
    </w:rPr>
  </w:style>
  <w:style w:type="paragraph" w:styleId="Heading4">
    <w:name w:val="heading 4"/>
    <w:basedOn w:val="Normal"/>
    <w:next w:val="Normal"/>
    <w:qFormat/>
    <w:pPr>
      <w:keepNext w:val="true"/>
      <w:numPr>
        <w:ilvl w:val="3"/>
        <w:numId w:val="1"/>
      </w:numPr>
      <w:tabs>
        <w:tab w:val="left" w:pos="720" w:leader="none"/>
      </w:tabs>
      <w:ind w:hanging="1440" w:start="1440" w:end="0"/>
      <w:jc w:val="both"/>
      <w:outlineLvl w:val="3"/>
    </w:pPr>
    <w:rPr>
      <w:i/>
      <w:iCs/>
    </w:rPr>
  </w:style>
  <w:style w:type="paragraph" w:styleId="Heading5">
    <w:name w:val="heading 5"/>
    <w:basedOn w:val="Normal"/>
    <w:next w:val="Normal"/>
    <w:qFormat/>
    <w:pPr>
      <w:keepNext w:val="true"/>
      <w:numPr>
        <w:ilvl w:val="4"/>
        <w:numId w:val="1"/>
      </w:numPr>
      <w:jc w:val="both"/>
      <w:outlineLvl w:val="4"/>
    </w:pPr>
    <w:rPr>
      <w:i/>
      <w:i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ind w:hanging="0" w:start="720" w:end="0"/>
      <w:jc w:val="both"/>
    </w:pPr>
    <w:rPr>
      <w:u w:val="single"/>
    </w:rPr>
  </w:style>
  <w:style w:type="paragraph" w:styleId="EndnoteText">
    <w:name w:val="endnote text"/>
    <w:basedOn w:val="Normal"/>
    <w:pPr/>
    <w:rPr>
      <w:sz w:val="20"/>
      <w:szCs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2001-07-06T18:56:00Z</dcterms:created>
  <dc:creator>VALUED SONY CUSTOMER</dc:creator>
  <dc:description/>
  <dc:language>en-CA</dc:language>
  <cp:lastModifiedBy>VALUED SONY CUSTOMER</cp:lastModifiedBy>
  <cp:lastPrinted>2001-06-21T14:52:00Z</cp:lastPrinted>
  <dcterms:modified xsi:type="dcterms:W3CDTF">2001-08-07T15:46:00Z</dcterms:modified>
  <cp:revision>10</cp:revision>
  <dc:subject>8+</dc:subject>
  <dc:title>DRAFT of 22 May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ClearView~NY003705109~Munro, Mark~110325-0001~</vt:lpwstr>
  </property>
  <property fmtid="{D5CDD505-2E9C-101B-9397-08002B2CF9AE}" pid="3" name="ClearView IsDirty">
    <vt:lpwstr/>
  </property>
</Properties>
</file>