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</w:r>
    </w:p>
    <w:p>
      <w:pPr>
        <w:pStyle w:val="Normal"/>
        <w:jc w:val="center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</w:r>
    </w:p>
    <w:p>
      <w:pPr>
        <w:pStyle w:val="Normal"/>
        <w:jc w:val="center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</w:r>
    </w:p>
    <w:p>
      <w:pPr>
        <w:pStyle w:val="Normal"/>
        <w:jc w:val="center"/>
        <w:rPr/>
      </w:pPr>
      <w:r>
        <w:rPr>
          <w:b/>
          <w:bCs/>
          <w:i/>
          <w:iCs/>
          <w:color w:val="FF0000"/>
          <w:sz w:val="28"/>
        </w:rPr>
        <w:t>experience</w:t>
      </w:r>
      <w:r>
        <w:rPr>
          <w:b/>
          <w:bCs/>
          <w:color w:val="FF0000"/>
          <w:sz w:val="28"/>
        </w:rPr>
        <w:t>ENRON</w:t>
      </w:r>
      <w:r>
        <w:rPr>
          <w:b/>
          <w:bCs/>
          <w:sz w:val="28"/>
        </w:rPr>
        <w:t xml:space="preserve"> Evolution</w:t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September 5, 2001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Purpose/Mission of experienceENRON:</w:t>
      </w:r>
    </w:p>
    <w:p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/>
      </w:pPr>
      <w:r>
        <w:rPr/>
        <w:t>Build familiarity and favorability in support of revenue opportunities and among key influentials</w:t>
      </w:r>
    </w:p>
    <w:p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b/>
          <w:bCs/>
          <w:color w:val="000000"/>
          <w:szCs w:val="20"/>
        </w:rPr>
      </w:pPr>
      <w:r>
        <w:rPr/>
        <w:t>It is a streamlined process that ensures efficiency and coordination of resources, costs and image when presenting Enron’s value proposition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 </w:t>
      </w:r>
    </w:p>
    <w:p>
      <w:pPr>
        <w:pStyle w:val="Normal"/>
        <w:keepLines/>
        <w:autoSpaceDE w:val="false"/>
        <w:spacing w:lineRule="atLeast" w:line="24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Target Audience: </w:t>
      </w:r>
    </w:p>
    <w:p>
      <w:pPr>
        <w:pStyle w:val="Normal"/>
        <w:keepLines/>
        <w:numPr>
          <w:ilvl w:val="0"/>
          <w:numId w:val="3"/>
        </w:numPr>
        <w:autoSpaceDE w:val="false"/>
        <w:spacing w:lineRule="atLeast" w:line="240"/>
        <w:rPr>
          <w:color w:val="000000"/>
          <w:szCs w:val="20"/>
        </w:rPr>
      </w:pPr>
      <w:r>
        <w:rPr>
          <w:color w:val="000000"/>
          <w:szCs w:val="20"/>
        </w:rPr>
        <w:t>Potential and existing clients, media, universities, future employees, legislators, etc.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History/Highlights:</w:t>
      </w:r>
    </w:p>
    <w:p>
      <w:pPr>
        <w:pStyle w:val="Normal"/>
        <w:numPr>
          <w:ilvl w:val="0"/>
          <w:numId w:val="7"/>
        </w:numPr>
        <w:rPr/>
      </w:pPr>
      <w:r>
        <w:rPr/>
        <w:t>January 1998 – Launched as an EES sales support initiative</w:t>
      </w:r>
    </w:p>
    <w:p>
      <w:pPr>
        <w:pStyle w:val="Normal"/>
        <w:numPr>
          <w:ilvl w:val="0"/>
          <w:numId w:val="7"/>
        </w:numPr>
        <w:rPr/>
      </w:pPr>
      <w:r>
        <w:rPr/>
        <w:t>January 20001 - Program Expansion</w:t>
      </w:r>
    </w:p>
    <w:p>
      <w:pPr>
        <w:pStyle w:val="Normal"/>
        <w:numPr>
          <w:ilvl w:val="1"/>
          <w:numId w:val="7"/>
        </w:numPr>
        <w:rPr/>
      </w:pPr>
      <w:r>
        <w:rPr/>
        <w:t>Launched company wide and managed by two resources</w:t>
      </w:r>
    </w:p>
    <w:p>
      <w:pPr>
        <w:pStyle w:val="Normal"/>
        <w:numPr>
          <w:ilvl w:val="0"/>
          <w:numId w:val="7"/>
        </w:numPr>
        <w:rPr/>
      </w:pPr>
      <w:r>
        <w:rPr/>
        <w:t>May 2000 - Rolled out internal branding and education campaign for deal team members and executives</w:t>
      </w:r>
    </w:p>
    <w:p>
      <w:pPr>
        <w:pStyle w:val="Normal"/>
        <w:numPr>
          <w:ilvl w:val="0"/>
          <w:numId w:val="7"/>
        </w:numPr>
        <w:rPr/>
      </w:pPr>
      <w:r>
        <w:rPr/>
        <w:t>Sept. 2000 – Initiated and distributed Activity Reports, analyzing volume and impact,  currently providing reports on a quarterly basis to business unit leaders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To date, recruited and trained a volunteer network of over 40 Subject Matter Experts (SME’s) from different business units to help tell the Enron story.  </w:t>
      </w:r>
    </w:p>
    <w:p>
      <w:pPr>
        <w:pStyle w:val="Normal"/>
        <w:numPr>
          <w:ilvl w:val="0"/>
          <w:numId w:val="7"/>
        </w:numPr>
        <w:rPr/>
      </w:pPr>
      <w:r>
        <w:rPr/>
        <w:t>YTD  - 22% of revenue driven deals have closed with an estimated value of  &gt;$1b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Program Elements Include:  </w:t>
      </w:r>
    </w:p>
    <w:p>
      <w:pPr>
        <w:pStyle w:val="Normal"/>
        <w:numPr>
          <w:ilvl w:val="0"/>
          <w:numId w:val="5"/>
        </w:numPr>
        <w:rPr/>
      </w:pPr>
      <w:r>
        <w:rPr/>
        <w:t>Planning – Define agenda, secure &amp; prep SME’s, send customer invitations, coordinate catering, protocol, presentation, conference rooms, transportation, etc.</w:t>
      </w:r>
    </w:p>
    <w:p>
      <w:pPr>
        <w:pStyle w:val="Normal"/>
        <w:numPr>
          <w:ilvl w:val="0"/>
          <w:numId w:val="5"/>
        </w:numPr>
        <w:rPr/>
      </w:pPr>
      <w:r>
        <w:rPr/>
        <w:t>Execution – Name badges, special meet and greet at lobby, facilitate process</w:t>
      </w:r>
    </w:p>
    <w:p>
      <w:pPr>
        <w:pStyle w:val="Normal"/>
        <w:numPr>
          <w:ilvl w:val="0"/>
          <w:numId w:val="5"/>
        </w:numPr>
        <w:rPr/>
      </w:pPr>
      <w:r>
        <w:rPr/>
        <w:t>Measurement – Obtain customer and originator feedback and measure results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New Enhancements: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Introduced collateral materials used by business units to create a consistent look and feel and positive impression for customer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Integration of plaza reception area to enhance total customer experience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 xml:space="preserve">Set up a display in the plaza reception area to promote Enron accolades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Incorporated accolades into music on hold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9"/>
        </w:numPr>
        <w:rPr/>
      </w:pPr>
      <w:r>
        <w:rPr/>
        <w:t>Virtual experienceENRON</w:t>
      </w:r>
    </w:p>
    <w:p>
      <w:pPr>
        <w:pStyle w:val="Normal"/>
        <w:numPr>
          <w:ilvl w:val="1"/>
          <w:numId w:val="11"/>
        </w:numPr>
        <w:rPr/>
      </w:pPr>
      <w:r>
        <w:rPr/>
        <w:t>Support tool for leads, recruiting, suppliers, origination, employee orientation</w:t>
      </w:r>
    </w:p>
    <w:p>
      <w:pPr>
        <w:pStyle w:val="Normal"/>
        <w:numPr>
          <w:ilvl w:val="1"/>
          <w:numId w:val="11"/>
        </w:numPr>
        <w:rPr/>
      </w:pPr>
      <w:r>
        <w:rPr/>
        <w:t>Distribution channels via internet, CDROM, video, power point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Key Challenges: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Space – </w:t>
      </w:r>
    </w:p>
    <w:p>
      <w:pPr>
        <w:pStyle w:val="Normal"/>
        <w:numPr>
          <w:ilvl w:val="1"/>
          <w:numId w:val="13"/>
        </w:numPr>
        <w:rPr/>
      </w:pPr>
      <w:r>
        <w:rPr/>
        <w:t>The need for controlled, dedicated and customer focused meeting rooms to manage overall quality and seamlessness of the customer experience</w:t>
      </w:r>
    </w:p>
    <w:p>
      <w:pPr>
        <w:pStyle w:val="Normal"/>
        <w:numPr>
          <w:ilvl w:val="1"/>
          <w:numId w:val="13"/>
        </w:numPr>
        <w:rPr/>
      </w:pPr>
      <w:r>
        <w:rPr/>
        <w:t>Current situation – rooms blocked by internal meetings, inadequate size and amenities, dirty, proprietary information displayed, lack of privacy (fish bowl environment)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Better integrate the EES program into overall corporate initiative to gain greater cost efficiencies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Difficult to tie contributions back to revenue because of lack of defined sales processes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 xml:space="preserve">General lack of customer service and value for customer relationship management tools through out the company culture.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Activity:</w:t>
        <w:tab/>
      </w:r>
    </w:p>
    <w:p>
      <w:pPr>
        <w:pStyle w:val="Normal"/>
        <w:numPr>
          <w:ilvl w:val="0"/>
          <w:numId w:val="12"/>
        </w:numPr>
        <w:rPr/>
      </w:pPr>
      <w:r>
        <w:rPr/>
        <w:t>Volume</w:t>
      </w:r>
    </w:p>
    <w:tbl>
      <w:tblPr>
        <w:tblW w:w="792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440"/>
        <w:gridCol w:w="1620"/>
        <w:gridCol w:w="1440"/>
      </w:tblGrid>
      <w:tr>
        <w:trPr/>
        <w:tc>
          <w:tcPr>
            <w:tcW w:w="342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144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1999 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sz w:val="20"/>
              </w:rPr>
              <w:t>(EES only)</w:t>
            </w:r>
          </w:p>
        </w:tc>
        <w:tc>
          <w:tcPr>
            <w:tcW w:w="162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2000 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sz w:val="20"/>
              </w:rPr>
              <w:t>(Company Wide)</w:t>
            </w:r>
          </w:p>
        </w:tc>
        <w:tc>
          <w:tcPr>
            <w:tcW w:w="144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(Jan. – Aug.)</w:t>
            </w:r>
          </w:p>
        </w:tc>
      </w:tr>
      <w:tr>
        <w:trPr/>
        <w:tc>
          <w:tcPr>
            <w:tcW w:w="342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Total Annual Visits</w:t>
            </w:r>
          </w:p>
        </w:tc>
        <w:tc>
          <w:tcPr>
            <w:tcW w:w="144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62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305</w:t>
            </w:r>
          </w:p>
        </w:tc>
        <w:tc>
          <w:tcPr>
            <w:tcW w:w="144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227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Revenue Driven Visits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115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115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Educational Visits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190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112</w:t>
            </w:r>
          </w:p>
        </w:tc>
      </w:tr>
      <w:tr>
        <w:trPr/>
        <w:tc>
          <w:tcPr>
            <w:tcW w:w="342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Ratio of Revenue to Educational</w:t>
            </w:r>
          </w:p>
        </w:tc>
        <w:tc>
          <w:tcPr>
            <w:tcW w:w="144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62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.5:1</w:t>
            </w:r>
          </w:p>
        </w:tc>
        <w:tc>
          <w:tcPr>
            <w:tcW w:w="144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1:1</w:t>
            </w:r>
          </w:p>
        </w:tc>
      </w:tr>
    </w:tbl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Per Cent of Usage by Business Unit</w:t>
      </w:r>
    </w:p>
    <w:tbl>
      <w:tblPr>
        <w:tblW w:w="3576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0"/>
        <w:gridCol w:w="816"/>
        <w:gridCol w:w="1970"/>
      </w:tblGrid>
      <w:tr>
        <w:trPr/>
        <w:tc>
          <w:tcPr>
            <w:tcW w:w="79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B.U.</w:t>
            </w:r>
          </w:p>
        </w:tc>
        <w:tc>
          <w:tcPr>
            <w:tcW w:w="816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197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Jan. – Aug. 2001</w:t>
            </w:r>
          </w:p>
        </w:tc>
      </w:tr>
      <w:tr>
        <w:trPr/>
        <w:tc>
          <w:tcPr>
            <w:tcW w:w="79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EWS</w:t>
            </w:r>
          </w:p>
        </w:tc>
        <w:tc>
          <w:tcPr>
            <w:tcW w:w="816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32%</w:t>
            </w:r>
          </w:p>
        </w:tc>
        <w:tc>
          <w:tcPr>
            <w:tcW w:w="197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33%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rPr/>
            </w:pPr>
            <w:r>
              <w:rPr/>
              <w:t>EES</w:t>
            </w:r>
          </w:p>
        </w:tc>
        <w:tc>
          <w:tcPr>
            <w:tcW w:w="816" w:type="dxa"/>
            <w:tcBorders/>
          </w:tcPr>
          <w:p>
            <w:pPr>
              <w:pStyle w:val="Normal"/>
              <w:rPr/>
            </w:pPr>
            <w:r>
              <w:rPr/>
              <w:t>30%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30%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rPr/>
            </w:pPr>
            <w:r>
              <w:rPr/>
              <w:t>Corp</w:t>
            </w:r>
          </w:p>
        </w:tc>
        <w:tc>
          <w:tcPr>
            <w:tcW w:w="816" w:type="dxa"/>
            <w:tcBorders/>
          </w:tcPr>
          <w:p>
            <w:pPr>
              <w:pStyle w:val="Normal"/>
              <w:rPr/>
            </w:pPr>
            <w:r>
              <w:rPr/>
              <w:t>23%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27%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816" w:type="dxa"/>
            <w:tcBorders/>
          </w:tcPr>
          <w:p>
            <w:pPr>
              <w:pStyle w:val="Normal"/>
              <w:rPr/>
            </w:pPr>
            <w:r>
              <w:rPr/>
              <w:t>13%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9%</w:t>
            </w:r>
          </w:p>
        </w:tc>
      </w:tr>
      <w:tr>
        <w:trPr/>
        <w:tc>
          <w:tcPr>
            <w:tcW w:w="79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ETS</w:t>
            </w:r>
          </w:p>
        </w:tc>
        <w:tc>
          <w:tcPr>
            <w:tcW w:w="816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2%</w:t>
            </w:r>
          </w:p>
        </w:tc>
        <w:tc>
          <w:tcPr>
            <w:tcW w:w="197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1%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 xml:space="preserve">Most Requested Areas of the Business </w:t>
      </w:r>
    </w:p>
    <w:tbl>
      <w:tblPr>
        <w:tblW w:w="485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080"/>
        <w:gridCol w:w="1970"/>
      </w:tblGrid>
      <w:tr>
        <w:trPr/>
        <w:tc>
          <w:tcPr>
            <w:tcW w:w="180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Business Area</w:t>
            </w:r>
          </w:p>
        </w:tc>
        <w:tc>
          <w:tcPr>
            <w:tcW w:w="108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197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Jan. – Aug. 2001</w:t>
            </w:r>
          </w:p>
        </w:tc>
      </w:tr>
      <w:tr>
        <w:trPr/>
        <w:tc>
          <w:tcPr>
            <w:tcW w:w="180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Gas Trading</w:t>
            </w:r>
          </w:p>
        </w:tc>
        <w:tc>
          <w:tcPr>
            <w:tcW w:w="108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62%</w:t>
            </w:r>
          </w:p>
        </w:tc>
        <w:tc>
          <w:tcPr>
            <w:tcW w:w="1970" w:type="dxa"/>
            <w:tcBorders>
              <w:top w:val="single" w:sz="6" w:space="0" w:color="008000"/>
            </w:tcBorders>
          </w:tcPr>
          <w:p>
            <w:pPr>
              <w:pStyle w:val="Normal"/>
              <w:rPr/>
            </w:pPr>
            <w:r>
              <w:rPr/>
              <w:t>65%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rPr/>
            </w:pPr>
            <w:r>
              <w:rPr/>
              <w:t>Power Trading</w:t>
            </w:r>
          </w:p>
        </w:tc>
        <w:tc>
          <w:tcPr>
            <w:tcW w:w="1080" w:type="dxa"/>
            <w:tcBorders/>
          </w:tcPr>
          <w:p>
            <w:pPr>
              <w:pStyle w:val="Normal"/>
              <w:rPr/>
            </w:pPr>
            <w:r>
              <w:rPr/>
              <w:t>22%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26%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rPr/>
            </w:pPr>
            <w:r>
              <w:rPr/>
              <w:t>EnronOnline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rPr/>
            </w:pPr>
            <w:r>
              <w:rPr/>
              <w:t>0%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18%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rPr/>
            </w:pPr>
            <w:r>
              <w:rPr/>
              <w:t>Gas Control</w:t>
            </w:r>
          </w:p>
        </w:tc>
        <w:tc>
          <w:tcPr>
            <w:tcW w:w="1080" w:type="dxa"/>
            <w:tcBorders/>
          </w:tcPr>
          <w:p>
            <w:pPr>
              <w:pStyle w:val="Normal"/>
              <w:rPr/>
            </w:pPr>
            <w:r>
              <w:rPr/>
              <w:t>64%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46%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1080" w:type="dxa"/>
            <w:tcBorders/>
          </w:tcPr>
          <w:p>
            <w:pPr>
              <w:pStyle w:val="Normal"/>
              <w:rPr/>
            </w:pPr>
            <w:r>
              <w:rPr/>
              <w:t>53%</w:t>
            </w:r>
          </w:p>
        </w:tc>
        <w:tc>
          <w:tcPr>
            <w:tcW w:w="1970" w:type="dxa"/>
            <w:tcBorders/>
          </w:tcPr>
          <w:p>
            <w:pPr>
              <w:pStyle w:val="Normal"/>
              <w:rPr/>
            </w:pPr>
            <w:r>
              <w:rPr/>
              <w:t>40%</w:t>
            </w:r>
          </w:p>
        </w:tc>
      </w:tr>
      <w:tr>
        <w:trPr/>
        <w:tc>
          <w:tcPr>
            <w:tcW w:w="180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EEE PMC</w:t>
            </w:r>
          </w:p>
        </w:tc>
        <w:tc>
          <w:tcPr>
            <w:tcW w:w="108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32%</w:t>
            </w:r>
          </w:p>
        </w:tc>
        <w:tc>
          <w:tcPr>
            <w:tcW w:w="1970" w:type="dxa"/>
            <w:tcBorders>
              <w:bottom w:val="single" w:sz="12" w:space="0" w:color="008000"/>
            </w:tcBorders>
          </w:tcPr>
          <w:p>
            <w:pPr>
              <w:pStyle w:val="Normal"/>
              <w:rPr/>
            </w:pPr>
            <w:r>
              <w:rPr/>
              <w:t>23%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 Unicode MS" w:hAnsi="Arial Unicode MS" w:cs="Arial Unicode MS"/>
          <w:vanish/>
          <w:color w:val="000000"/>
        </w:rPr>
      </w:pPr>
      <w:r>
        <w:rPr>
          <w:rFonts w:cs="Arial Unicode MS" w:ascii="Arial Unicode MS" w:hAnsi="Arial Unicode MS"/>
          <w:vanish/>
          <w:color w:val="000000"/>
        </w:rPr>
      </w:r>
    </w:p>
    <w:p>
      <w:pPr>
        <w:pStyle w:val="Normal"/>
        <w:rPr>
          <w:rFonts w:ascii="Arial Unicode MS" w:hAnsi="Arial Unicode MS" w:cs="Arial Unicode MS"/>
          <w:vanish/>
          <w:color w:val="000000"/>
        </w:rPr>
      </w:pPr>
      <w:r>
        <w:rPr>
          <w:rFonts w:cs="Arial Unicode MS" w:ascii="Arial Unicode MS" w:hAnsi="Arial Unicode MS"/>
          <w:vanish/>
          <w:color w:val="00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60" w:right="144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mc:AlternateContent>
        <mc:Choice Requires="wpg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2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20"/>
      </w:rPr>
      <w:t>Property of Enron Corp</w:t>
    </w:r>
  </w:p>
  <w:p>
    <w:pPr>
      <w:pStyle w:val="Normal"/>
      <w:jc w:val="center"/>
      <w:rPr/>
    </w:pPr>
    <w:r>
      <w:rPr>
        <w:sz w:val="20"/>
      </w:rPr>
      <w:t>(Only for those with a need to know</w:t>
    </w:r>
    <w:r>
      <w:rPr/>
      <w:t>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8"/>
      </w:rPr>
    </w:pPr>
    <w:r>
      <mc:AlternateContent>
        <mc:Choice Requires="wpg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4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sz w:val="18"/>
      </w:rPr>
      <w:t>Property of Enron Corp.</w:t>
    </w:r>
  </w:p>
  <w:p>
    <w:pPr>
      <w:pStyle w:val="Normal"/>
      <w:jc w:val="center"/>
      <w:rPr>
        <w:sz w:val="18"/>
      </w:rPr>
    </w:pPr>
    <w:r>
      <w:rPr>
        <w:sz w:val="18"/>
      </w:rPr>
      <w:t>(Only for those with a need to know)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</w:rPr>
    </w:pPr>
    <w:r>
      <w:rPr>
        <w:sz w:val="16"/>
      </w:rPr>
      <w:t>ExperienceENRON Evolution</w:t>
    </w:r>
  </w:p>
  <w:p>
    <w:pPr>
      <w:pStyle w:val="Header"/>
      <w:rPr/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 Unicode MS" w:cs="Arial"/>
      <w:b/>
      <w:bCs/>
      <w:sz w:val="16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0000FF"/>
      <w:sz w:val="16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eastAsia="Arial Unicode MS" w:cs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Lines/>
      <w:autoSpaceDE w:val="false"/>
      <w:spacing w:lineRule="atLeast" w:line="240"/>
    </w:pPr>
    <w:rPr>
      <w:color w:val="00000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770" w:leader="none"/>
        <w:tab w:val="right" w:pos="95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2001-09-05T17:01:00Z</dcterms:created>
  <dc:creator>crobert</dc:creator>
  <dc:description/>
  <dc:language>en-CA</dc:language>
  <cp:lastModifiedBy>crobert</cp:lastModifiedBy>
  <cp:lastPrinted>2001-09-05T17:17:00Z</cp:lastPrinted>
  <dcterms:modified xsi:type="dcterms:W3CDTF">2001-09-05T20:26:00Z</dcterms:modified>
  <cp:revision>17</cp:revision>
  <dc:subject/>
  <dc:title>ExperienceENRON Statistics</dc:title>
</cp:coreProperties>
</file>