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 w:after="60"/>
        <w:rPr>
          <w:sz w:val="2"/>
        </w:rPr>
      </w:pPr>
      <w:r>
        <w:rPr>
          <w:sz w:val="2"/>
        </w:rPr>
      </w:r>
      <w:r>
        <mc:AlternateContent>
          <mc:Choice Requires="wps">
            <w:drawing>
              <wp:anchor behindDoc="0" distT="0" distB="0" distL="114300" distR="114300" simplePos="0" locked="0" layoutInCell="0" allowOverlap="1" relativeHeight="2">
                <wp:simplePos x="0" y="0"/>
                <wp:positionH relativeFrom="page">
                  <wp:posOffset>1057910</wp:posOffset>
                </wp:positionH>
                <wp:positionV relativeFrom="paragraph">
                  <wp:posOffset>-647065</wp:posOffset>
                </wp:positionV>
                <wp:extent cx="3820160" cy="1967230"/>
                <wp:effectExtent l="0" t="0" r="0" b="0"/>
                <wp:wrapSquare wrapText="bothSides"/>
                <wp:docPr id="1" name="Frame1"/>
                <a:graphic xmlns:a="http://schemas.openxmlformats.org/drawingml/2006/main">
                  <a:graphicData uri="http://schemas.microsoft.com/office/word/2010/wordprocessingShape">
                    <wps:wsp>
                      <wps:cNvSpPr txBox="1"/>
                      <wps:spPr>
                        <a:xfrm>
                          <a:off x="0" y="0"/>
                          <a:ext cx="3820160" cy="1967230"/>
                        </a:xfrm>
                        <a:prstGeom prst="rect"/>
                        <a:solidFill>
                          <a:srgbClr val="FFFFFF">
                            <a:alpha val="0"/>
                          </a:srgbClr>
                        </a:solidFill>
                      </wps:spPr>
                      <wps:txbx>
                        <w:txbxContent>
                          <w:p>
                            <w:pPr>
                              <w:pStyle w:val="Normal"/>
                              <w:widowControl/>
                              <w:bidi w:val="0"/>
                              <w:spacing w:before="60" w:after="60"/>
                              <w:rPr/>
                            </w:pPr>
                            <w:r>
                              <w:rPr/>
                              <w:drawing>
                                <wp:inline distT="0" distB="0" distL="0" distR="0">
                                  <wp:extent cx="1500505" cy="149098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12" t="-12" r="-12" b="-12"/>
                                          <a:stretch>
                                            <a:fillRect/>
                                          </a:stretch>
                                        </pic:blipFill>
                                        <pic:spPr bwMode="auto">
                                          <a:xfrm>
                                            <a:off x="0" y="0"/>
                                            <a:ext cx="1500505" cy="1490980"/>
                                          </a:xfrm>
                                          <a:prstGeom prst="rect">
                                            <a:avLst/>
                                          </a:prstGeom>
                                          <a:noFill/>
                                        </pic:spPr>
                                      </pic:pic>
                                    </a:graphicData>
                                  </a:graphic>
                                </wp:inline>
                              </w:drawing>
                            </w:r>
                          </w:p>
                          <w:p>
                            <w:pPr>
                              <w:pStyle w:val="Normal"/>
                              <w:rPr/>
                            </w:pPr>
                            <w:r>
                              <w:rPr/>
                            </w:r>
                          </w:p>
                          <w:p>
                            <w:pPr>
                              <w:pStyle w:val="Normal"/>
                              <w:spacing w:before="0" w:after="0"/>
                              <w:rPr>
                                <w:rFonts w:ascii="Arial" w:hAnsi="Arial" w:cs="Arial"/>
                              </w:rPr>
                            </w:pPr>
                            <w:r>
                              <w:rPr>
                                <w:rFonts w:cs="Arial" w:ascii="Arial" w:hAnsi="Arial"/>
                                <w:b/>
                                <w:sz w:val="24"/>
                              </w:rPr>
                              <w:t>InterOffice Memo</w:t>
                            </w:r>
                          </w:p>
                        </w:txbxContent>
                      </wps:txbx>
                      <wps:bodyPr anchor="t" lIns="0" tIns="0" rIns="0" bIns="0">
                        <a:noAutofit/>
                      </wps:bodyPr>
                    </wps:wsp>
                  </a:graphicData>
                </a:graphic>
              </wp:anchor>
            </w:drawing>
          </mc:Choice>
          <mc:Fallback>
            <w:pict>
              <v:rect fillcolor="#FFFFFF" style="position:absolute;rotation:-0;width:300.8pt;height:154.9pt;mso-wrap-distance-left:9pt;mso-wrap-distance-right:9pt;mso-wrap-distance-top:0pt;mso-wrap-distance-bottom:0pt;margin-top:-50.95pt;mso-position-vertical-relative:text;margin-left:83.3pt;mso-position-horizontal-relative:page">
                <v:fill opacity="0f"/>
                <v:textbox inset="0in,0in,0in,0in">
                  <w:txbxContent>
                    <w:p>
                      <w:pPr>
                        <w:pStyle w:val="Normal"/>
                        <w:widowControl/>
                        <w:bidi w:val="0"/>
                        <w:spacing w:before="60" w:after="60"/>
                        <w:rPr/>
                      </w:pPr>
                      <w:r>
                        <w:rPr/>
                        <w:drawing>
                          <wp:inline distT="0" distB="0" distL="0" distR="0">
                            <wp:extent cx="1500505" cy="149098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12" t="-12" r="-12" b="-12"/>
                                    <a:stretch>
                                      <a:fillRect/>
                                    </a:stretch>
                                  </pic:blipFill>
                                  <pic:spPr bwMode="auto">
                                    <a:xfrm>
                                      <a:off x="0" y="0"/>
                                      <a:ext cx="1500505" cy="1490980"/>
                                    </a:xfrm>
                                    <a:prstGeom prst="rect">
                                      <a:avLst/>
                                    </a:prstGeom>
                                    <a:noFill/>
                                  </pic:spPr>
                                </pic:pic>
                              </a:graphicData>
                            </a:graphic>
                          </wp:inline>
                        </w:drawing>
                      </w:r>
                    </w:p>
                    <w:p>
                      <w:pPr>
                        <w:pStyle w:val="Normal"/>
                        <w:rPr/>
                      </w:pPr>
                      <w:r>
                        <w:rPr/>
                      </w:r>
                    </w:p>
                    <w:p>
                      <w:pPr>
                        <w:pStyle w:val="Normal"/>
                        <w:spacing w:before="0" w:after="0"/>
                        <w:rPr>
                          <w:rFonts w:ascii="Arial" w:hAnsi="Arial" w:cs="Arial"/>
                        </w:rPr>
                      </w:pPr>
                      <w:r>
                        <w:rPr>
                          <w:rFonts w:cs="Arial" w:ascii="Arial" w:hAnsi="Arial"/>
                          <w:b/>
                          <w:sz w:val="24"/>
                        </w:rPr>
                        <w:t>InterOffice Memo</w:t>
                      </w:r>
                    </w:p>
                  </w:txbxContent>
                </v:textbox>
                <w10:wrap type="square"/>
              </v:rect>
            </w:pict>
          </mc:Fallback>
        </mc:AlternateContent>
      </w:r>
    </w:p>
    <w:tbl>
      <w:tblPr>
        <w:tblW w:w="8748" w:type="dxa"/>
        <w:jc w:val="start"/>
        <w:tblInd w:w="0" w:type="dxa"/>
        <w:tblLayout w:type="fixed"/>
        <w:tblCellMar>
          <w:top w:w="0" w:type="dxa"/>
          <w:start w:w="108" w:type="dxa"/>
          <w:bottom w:w="0" w:type="dxa"/>
          <w:end w:w="108" w:type="dxa"/>
        </w:tblCellMar>
      </w:tblPr>
      <w:tblGrid>
        <w:gridCol w:w="1188"/>
        <w:gridCol w:w="7560"/>
      </w:tblGrid>
      <w:tr>
        <w:trPr/>
        <w:tc>
          <w:tcPr>
            <w:tcW w:w="1188" w:type="dxa"/>
            <w:tcBorders/>
          </w:tcPr>
          <w:p>
            <w:pPr>
              <w:pStyle w:val="Normal"/>
              <w:spacing w:before="60" w:after="60"/>
              <w:rPr>
                <w:rFonts w:ascii="Arial" w:hAnsi="Arial" w:cs="Arial"/>
              </w:rPr>
            </w:pPr>
            <w:r>
              <w:rPr>
                <w:rFonts w:cs="Arial" w:ascii="Arial" w:hAnsi="Arial"/>
                <w:b/>
              </w:rPr>
              <w:t>To:</w:t>
            </w:r>
          </w:p>
        </w:tc>
        <w:tc>
          <w:tcPr>
            <w:tcW w:w="7560" w:type="dxa"/>
            <w:tcBorders/>
          </w:tcPr>
          <w:p>
            <w:pPr>
              <w:pStyle w:val="To"/>
              <w:spacing w:before="60" w:after="60"/>
              <w:rPr>
                <w:rFonts w:ascii="Arial" w:hAnsi="Arial" w:cs="Arial"/>
              </w:rPr>
            </w:pPr>
            <w:bookmarkStart w:id="0" w:name="To"/>
            <w:bookmarkEnd w:id="0"/>
            <w:r>
              <w:rPr>
                <w:rFonts w:cs="Arial" w:ascii="Arial" w:hAnsi="Arial"/>
              </w:rPr>
              <w:t>Steve Kean</w:t>
            </w:r>
          </w:p>
        </w:tc>
      </w:tr>
      <w:tr>
        <w:trPr/>
        <w:tc>
          <w:tcPr>
            <w:tcW w:w="1188" w:type="dxa"/>
            <w:tcBorders/>
          </w:tcPr>
          <w:p>
            <w:pPr>
              <w:pStyle w:val="Normal"/>
              <w:spacing w:before="60" w:after="60"/>
              <w:rPr>
                <w:rFonts w:ascii="Arial" w:hAnsi="Arial" w:cs="Arial"/>
              </w:rPr>
            </w:pPr>
            <w:r>
              <w:rPr>
                <w:rFonts w:cs="Arial" w:ascii="Arial" w:hAnsi="Arial"/>
                <w:b/>
              </w:rPr>
              <w:t>From:</w:t>
            </w:r>
          </w:p>
        </w:tc>
        <w:tc>
          <w:tcPr>
            <w:tcW w:w="7560" w:type="dxa"/>
            <w:tcBorders/>
          </w:tcPr>
          <w:p>
            <w:pPr>
              <w:pStyle w:val="From"/>
              <w:spacing w:before="60" w:after="60"/>
              <w:rPr>
                <w:rFonts w:ascii="Arial" w:hAnsi="Arial" w:cs="Arial"/>
              </w:rPr>
            </w:pPr>
            <w:bookmarkStart w:id="1" w:name="From"/>
            <w:bookmarkEnd w:id="1"/>
            <w:r>
              <w:rPr>
                <w:rFonts w:cs="Arial" w:ascii="Arial" w:hAnsi="Arial"/>
              </w:rPr>
              <w:t>Mike Dahlke</w:t>
            </w:r>
          </w:p>
        </w:tc>
      </w:tr>
      <w:tr>
        <w:trPr/>
        <w:tc>
          <w:tcPr>
            <w:tcW w:w="1188" w:type="dxa"/>
            <w:tcBorders/>
          </w:tcPr>
          <w:p>
            <w:pPr>
              <w:pStyle w:val="Normal"/>
              <w:spacing w:before="60" w:after="60"/>
              <w:rPr>
                <w:rFonts w:ascii="Arial" w:hAnsi="Arial" w:cs="Arial"/>
              </w:rPr>
            </w:pPr>
            <w:r>
              <w:rPr>
                <w:rFonts w:cs="Arial" w:ascii="Arial" w:hAnsi="Arial"/>
                <w:b/>
              </w:rPr>
              <w:t>Date:</w:t>
            </w:r>
          </w:p>
        </w:tc>
        <w:tc>
          <w:tcPr>
            <w:tcW w:w="7560" w:type="dxa"/>
            <w:tcBorders/>
          </w:tcPr>
          <w:p>
            <w:pPr>
              <w:pStyle w:val="Date"/>
              <w:spacing w:before="60" w:after="60"/>
              <w:rPr>
                <w:rFonts w:ascii="Arial" w:hAnsi="Arial" w:cs="Arial"/>
              </w:rPr>
            </w:pPr>
            <w:r>
              <w:rPr>
                <w:rFonts w:cs="Arial" w:ascii="Arial" w:hAnsi="Arial"/>
              </w:rPr>
              <w:t>February 7, 2000</w:t>
            </w:r>
          </w:p>
        </w:tc>
      </w:tr>
      <w:tr>
        <w:trPr/>
        <w:tc>
          <w:tcPr>
            <w:tcW w:w="1188" w:type="dxa"/>
            <w:tcBorders>
              <w:bottom w:val="single" w:sz="18" w:space="0" w:color="000000"/>
            </w:tcBorders>
          </w:tcPr>
          <w:p>
            <w:pPr>
              <w:pStyle w:val="Normal"/>
              <w:spacing w:before="60" w:after="60"/>
              <w:rPr>
                <w:rFonts w:ascii="Arial" w:hAnsi="Arial" w:cs="Arial"/>
              </w:rPr>
            </w:pPr>
            <w:r>
              <w:rPr>
                <w:rFonts w:cs="Arial" w:ascii="Arial" w:hAnsi="Arial"/>
                <w:b/>
              </w:rPr>
              <w:t>Subject:</w:t>
            </w:r>
          </w:p>
        </w:tc>
        <w:tc>
          <w:tcPr>
            <w:tcW w:w="7560" w:type="dxa"/>
            <w:tcBorders>
              <w:bottom w:val="single" w:sz="18" w:space="0" w:color="000000"/>
            </w:tcBorders>
          </w:tcPr>
          <w:p>
            <w:pPr>
              <w:pStyle w:val="Subject"/>
              <w:spacing w:before="60" w:after="60"/>
              <w:rPr>
                <w:rFonts w:ascii="Arial" w:hAnsi="Arial" w:cs="Arial"/>
              </w:rPr>
            </w:pPr>
            <w:bookmarkStart w:id="2" w:name="tSubject"/>
            <w:bookmarkStart w:id="3" w:name="Subject"/>
            <w:bookmarkEnd w:id="2"/>
            <w:bookmarkEnd w:id="3"/>
            <w:r>
              <w:rPr>
                <w:rFonts w:cs="Arial" w:ascii="Arial" w:hAnsi="Arial"/>
              </w:rPr>
              <w:t>Anticipated Areas of Focus and Activity - 2000</w:t>
            </w:r>
          </w:p>
        </w:tc>
      </w:tr>
    </w:tbl>
    <w:p>
      <w:pPr>
        <w:pStyle w:val="Normal"/>
        <w:rPr>
          <w:rFonts w:ascii="Arial" w:hAnsi="Arial" w:cs="Arial"/>
        </w:rPr>
      </w:pPr>
      <w:r>
        <w:rPr>
          <w:rFonts w:cs="Arial" w:ascii="Arial" w:hAnsi="Arial"/>
        </w:rPr>
      </w:r>
      <w:bookmarkStart w:id="4" w:name="StartOfMemo"/>
      <w:bookmarkStart w:id="5" w:name="StartOfMemo"/>
      <w:bookmarkEnd w:id="5"/>
    </w:p>
    <w:p>
      <w:pPr>
        <w:pStyle w:val="Normal"/>
        <w:rPr>
          <w:rFonts w:ascii="Arial" w:hAnsi="Arial" w:cs="Arial"/>
        </w:rPr>
      </w:pPr>
      <w:r>
        <w:rPr>
          <w:rFonts w:cs="Arial" w:ascii="Arial" w:hAnsi="Arial"/>
        </w:rPr>
        <w:t xml:space="preserve">As you requested, the areas from which I anticipate accomplishments (value added) during this year are as follows: </w:t>
      </w:r>
    </w:p>
    <w:p>
      <w:pPr>
        <w:pStyle w:val="Heading4"/>
        <w:ind w:hanging="0" w:start="0"/>
        <w:rPr/>
      </w:pPr>
      <w:r>
        <w:rPr/>
        <w:t>East Asia - Korea</w:t>
      </w:r>
    </w:p>
    <w:p>
      <w:pPr>
        <w:pStyle w:val="Normal"/>
        <w:rPr>
          <w:rFonts w:ascii="Arial" w:hAnsi="Arial" w:cs="Arial"/>
        </w:rPr>
      </w:pPr>
      <w:r>
        <w:rPr>
          <w:rFonts w:cs="Arial" w:ascii="Arial" w:hAnsi="Arial"/>
        </w:rPr>
        <w:t>Electric Sector Restructuring – Following the “congressional” elections in April, the National Assembly is expected to again be asked to consider a law that create a competitive electric market.  In the absence of “pending election posturing”, it is anticipated that this matter will be given serious consideration and likely passed before the end of this year.  Key issues to be lobbied are the qualifications to be an electric “marketer”, simplification of the “pool rules” and transparency of the regulator.  Enron business interests affected include infrastructure development, trading, risk management, and Enron Energy Services.</w:t>
      </w:r>
    </w:p>
    <w:p>
      <w:pPr>
        <w:pStyle w:val="Normal"/>
        <w:rPr>
          <w:rFonts w:ascii="Arial" w:hAnsi="Arial" w:cs="Arial"/>
        </w:rPr>
      </w:pPr>
      <w:r>
        <w:rPr>
          <w:rFonts w:cs="Arial" w:ascii="Arial" w:hAnsi="Arial"/>
        </w:rPr>
        <w:t>Gas Sector Restructuring – The country’s Cabinet has approved a “blue print” for the restructuring of the LNG supply, gas transmission and ultimately the local gas distribution businesses.  Prior to the next meeting of the National Assembly, this framework will be used to draft legislation.  Enron has had a significant impact in the shaping of the “blue print”.  It is critical that it remains engaged in the process to solidify opportunities and to protect existing investments.  Enron business interests affected include LNG marketing, gas trading, risk management, retail gas marketing, local gas distribution and Enron Energy Services.</w:t>
      </w:r>
    </w:p>
    <w:p>
      <w:pPr>
        <w:pStyle w:val="Normal"/>
        <w:rPr>
          <w:rFonts w:ascii="Arial" w:hAnsi="Arial" w:cs="Arial"/>
        </w:rPr>
      </w:pPr>
      <w:r>
        <w:rPr>
          <w:rFonts w:cs="Arial" w:ascii="Arial" w:hAnsi="Arial"/>
        </w:rPr>
        <w:t>Gas and Electric Power Rate Design – In conjunction with the efforts to restructure the gas and power business, the Ministry of Commerce, Industry and Energy has initiated studies aimed at revising its rate setting methodology and guidelines.  It is expected that this process will establish the basis for determining the price of unbundled services including those offered by the SK-Enron joint venture.  Enron businesses affected include infrastructure development, wholesale and retail marketing, and Enron Energy Services.</w:t>
      </w:r>
    </w:p>
    <w:p>
      <w:pPr>
        <w:pStyle w:val="Normal"/>
        <w:rPr>
          <w:rFonts w:ascii="Arial" w:hAnsi="Arial" w:cs="Arial"/>
        </w:rPr>
      </w:pPr>
      <w:r>
        <w:rPr>
          <w:rFonts w:cs="Arial" w:ascii="Arial" w:hAnsi="Arial"/>
        </w:rPr>
        <w:t>Privatization Bidding Process Improvements – Thus far the privatization efforts initiated by the government in both the gas and electric sector have not resulted in any substantive opportunities for foreign investors.  Lobbying of both the Korean and United States Governments has begun in an effort to effect changes that will increase the likelihood that power generation, gas transmission and other related assets will be sold to create a market based energy business in Korea.  Enron business interests affected include infrastructure development, power and gas marketing and Enron Energy Services.</w:t>
      </w:r>
    </w:p>
    <w:p>
      <w:pPr>
        <w:pStyle w:val="Heading4"/>
        <w:ind w:hanging="0" w:start="0"/>
        <w:rPr/>
      </w:pPr>
      <w:r>
        <w:rPr/>
        <w:t>East Asia - Japan</w:t>
      </w:r>
    </w:p>
    <w:p>
      <w:pPr>
        <w:pStyle w:val="Normal"/>
        <w:rPr>
          <w:rFonts w:ascii="Arial" w:hAnsi="Arial" w:cs="Arial"/>
        </w:rPr>
      </w:pPr>
      <w:r>
        <w:rPr>
          <w:rFonts w:cs="Arial" w:ascii="Arial" w:hAnsi="Arial"/>
        </w:rPr>
        <w:t>Restructuring of the Electric Sector – A select group of customers are scheduled to become “contestable” in March of this year.  Enron has invested considerable effort to insure the new entrants will have a legitimate opportunity to serves this demand in competition with the incumbent utilities.  Only limited success has been achieved thus far and much added lobbying of both the Japanese and U.S. governments is anticipated.  Enron business interests affected include wholesale marketing, risk management, finance origination, and Enron Energy Services.</w:t>
      </w:r>
    </w:p>
    <w:p>
      <w:pPr>
        <w:pStyle w:val="Normal"/>
        <w:rPr>
          <w:rFonts w:ascii="Arial" w:hAnsi="Arial" w:cs="Arial"/>
        </w:rPr>
      </w:pPr>
      <w:r>
        <w:rPr>
          <w:rFonts w:cs="Arial" w:ascii="Arial" w:hAnsi="Arial"/>
        </w:rPr>
        <w:t>Restructuring of the Gas (LNG) Sector – New regulations governing the gas sector are in the process of being developed and there seems to be an intensified interest in development of a nationwide gas transmission system.  As shown in Korea and elsewhere, early substantive engagement in this process increases the likelihood that the model adopted will be opportune for Enron.  Business interested affected include LNG marketing, gas trading, risk management, and Enron Energy Services.</w:t>
      </w:r>
    </w:p>
    <w:p>
      <w:pPr>
        <w:pStyle w:val="Heading4"/>
        <w:ind w:hanging="0" w:start="0"/>
        <w:rPr/>
      </w:pPr>
      <w:r>
        <w:rPr/>
        <w:t>East Asia – Taiwan</w:t>
      </w:r>
    </w:p>
    <w:p>
      <w:pPr>
        <w:pStyle w:val="Normal"/>
        <w:rPr>
          <w:rFonts w:ascii="Arial" w:hAnsi="Arial" w:cs="Arial"/>
        </w:rPr>
      </w:pPr>
      <w:r>
        <w:rPr>
          <w:rFonts w:cs="Arial" w:ascii="Arial" w:hAnsi="Arial"/>
        </w:rPr>
        <w:t>Electric and Gas (LNG) Sector Restructuring – Private power generation and LNG terminaling have become parts of the energy landscape in Taiwan.  Both the Electric law and the Petroleum law, which governs LNG, are advancing through the legislative process.  Lobbying on provisions of this legislation and the rules that must developed to implement them is needed. Enron business interests affected include LNG marketing, wholesale power marketing, Enron Energy Services and infrastructure development.</w:t>
      </w:r>
    </w:p>
    <w:p>
      <w:pPr>
        <w:pStyle w:val="Heading4"/>
        <w:ind w:hanging="0" w:start="0"/>
        <w:rPr/>
      </w:pPr>
      <w:r>
        <w:rPr/>
        <w:t>Multi-lateral Trade Development</w:t>
      </w:r>
    </w:p>
    <w:p>
      <w:pPr>
        <w:pStyle w:val="Normal"/>
        <w:rPr>
          <w:rFonts w:ascii="Arial" w:hAnsi="Arial" w:cs="Arial"/>
        </w:rPr>
      </w:pPr>
      <w:r>
        <w:rPr>
          <w:rFonts w:cs="Arial" w:ascii="Arial" w:hAnsi="Arial"/>
        </w:rPr>
        <w:t xml:space="preserve">Free Trade Area of the Americas (FTAA) – Since 1994, the U.S. and the democratically elected leaders of this, the Western Hemisphere, have been working to establish a “common market” in this region.  Enron has been the leading energy company in this process throughout the past 6 years and has positioned itself to help shape the future of hemispheric commerce.  All of the company’s business interests have a stake in the outcome  </w:t>
      </w:r>
    </w:p>
    <w:p>
      <w:pPr>
        <w:pStyle w:val="Normal"/>
        <w:rPr>
          <w:rFonts w:ascii="Arial" w:hAnsi="Arial" w:cs="Arial"/>
        </w:rPr>
      </w:pPr>
      <w:r>
        <w:rPr>
          <w:rFonts w:cs="Arial" w:ascii="Arial" w:hAnsi="Arial"/>
        </w:rPr>
        <w:t>Asis/Pacific Economic Council (APEC) – This organization has been led efforts to spur the development of natural gas and to include “energy services” in trade reforms within the region.  Here again, Enron has been one of the key private sector parties to steer this organization.  And all of the Company’s business interests have a stake in the outcomes produced by APEC.</w:t>
      </w:r>
    </w:p>
    <w:p>
      <w:pPr>
        <w:pStyle w:val="Heading4"/>
        <w:ind w:hanging="0" w:start="0"/>
        <w:rPr/>
      </w:pPr>
      <w:r>
        <w:rPr/>
        <w:t>Enron Broadband Services</w:t>
      </w:r>
    </w:p>
    <w:p>
      <w:pPr>
        <w:pStyle w:val="Normal"/>
        <w:rPr>
          <w:rFonts w:ascii="Arial" w:hAnsi="Arial" w:cs="Arial"/>
        </w:rPr>
      </w:pPr>
      <w:r>
        <w:rPr>
          <w:rFonts w:cs="Arial" w:ascii="Arial" w:hAnsi="Arial"/>
        </w:rPr>
        <w:t xml:space="preserve">Since late last year, the International Governmental Affairs group has been engaged in a serious dialogue with EBS aimed at leveraging the contacts and insights gained in the past 2 year in support of the expansion of this new business. </w:t>
      </w:r>
    </w:p>
    <w:p>
      <w:pPr>
        <w:pStyle w:val="Heading4"/>
        <w:ind w:hanging="0" w:start="0"/>
        <w:rPr/>
      </w:pPr>
      <w:r>
        <w:rPr/>
        <w:t>Enron Energy Services</w:t>
      </w:r>
    </w:p>
    <w:p>
      <w:pPr>
        <w:pStyle w:val="Normal"/>
        <w:rPr>
          <w:rFonts w:ascii="Arial" w:hAnsi="Arial" w:cs="Arial"/>
        </w:rPr>
      </w:pPr>
      <w:r>
        <w:rPr>
          <w:rFonts w:cs="Arial" w:ascii="Arial" w:hAnsi="Arial"/>
        </w:rPr>
        <w:t>Through the “EES International Support” working group, an effort is underway to define the needs that will be faced as EES pushes beyond the boarders of the US.  Once again, it is anticipated that the experience gained during the past 2 years can facilitate effective market entry.</w:t>
      </w:r>
    </w:p>
    <w:p>
      <w:pPr>
        <w:pStyle w:val="Heading4"/>
        <w:ind w:hanging="0" w:start="0"/>
        <w:rPr/>
      </w:pPr>
      <w:r>
        <w:rPr/>
        <w:t>Data Base Development</w:t>
      </w:r>
    </w:p>
    <w:p>
      <w:pPr>
        <w:pStyle w:val="Normal"/>
        <w:rPr>
          <w:rFonts w:ascii="Arial" w:hAnsi="Arial" w:cs="Arial"/>
        </w:rPr>
      </w:pPr>
      <w:r>
        <w:rPr>
          <w:rFonts w:cs="Arial" w:ascii="Arial" w:hAnsi="Arial"/>
        </w:rPr>
        <w:t>An effort is underway to extend the scope and capabilities of the Regulatory Database that has been developed during the past 2 years.  The new scope will include data relevant to “traditional” Enron businesses as well as EBS and the Environmental Assessment and Compliance organization.  One objective is to make the information in the database accessible in the office, in “field” locations and travel stops.</w:t>
      </w:r>
    </w:p>
    <w:p>
      <w:pPr>
        <w:pStyle w:val="Header"/>
        <w:tabs>
          <w:tab w:val="clear" w:pos="4320"/>
          <w:tab w:val="clear" w:pos="8640"/>
          <w:tab w:val="clear" w:pos="9000"/>
        </w:tabs>
        <w:spacing w:before="60" w:after="60"/>
        <w:rPr>
          <w:rFonts w:ascii="Arial" w:hAnsi="Arial" w:cs="Arial"/>
          <w:i/>
          <w:i/>
          <w:u w:val="single"/>
        </w:rPr>
      </w:pPr>
      <w:r>
        <w:rPr>
          <w:rFonts w:cs="Arial" w:ascii="Arial" w:hAnsi="Arial"/>
          <w:i/>
          <w:u w:val="single"/>
        </w:rPr>
        <w:t>Enron “Advocacy”</w:t>
      </w:r>
    </w:p>
    <w:p>
      <w:pPr>
        <w:pStyle w:val="Normal"/>
        <w:rPr>
          <w:rFonts w:ascii="Arial" w:hAnsi="Arial" w:cs="Arial"/>
        </w:rPr>
      </w:pPr>
      <w:r>
        <w:rPr>
          <w:rFonts w:cs="Arial" w:ascii="Arial" w:hAnsi="Arial"/>
        </w:rPr>
        <w:t>Several times each year, opportunities to speak to staff groups from the U.S. State Department and Commerce Department provide and opportunity to promote the Company and its development initiatives.  These occasions establish contacts, generate business leads and help pave the way for USG support throughout the world.</w:t>
      </w:r>
    </w:p>
    <w:p>
      <w:pPr>
        <w:pStyle w:val="Normal"/>
        <w:rPr>
          <w:rFonts w:ascii="Arial" w:hAnsi="Arial" w:cs="Arial"/>
        </w:rPr>
      </w:pPr>
      <w:r>
        <w:rPr>
          <w:rFonts w:cs="Arial" w:ascii="Arial" w:hAnsi="Arial"/>
        </w:rPr>
        <w:t>During the course of the year, there are typically opportunities to provide talking briefing material and talking points to key USG officials, particularly the Secretary of Energy and the Secretary of Commerce and to advocate Enron’s position on various issues affecting its business in Asia and Latin America.  With the emergence on the world scene of EES and EBS, the need for this kind of support should expand as well.</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er"/>
        <w:tabs>
          <w:tab w:val="clear" w:pos="4320"/>
          <w:tab w:val="clear" w:pos="8640"/>
          <w:tab w:val="clear" w:pos="9000"/>
        </w:tabs>
        <w:spacing w:before="60" w:after="60"/>
        <w:rPr>
          <w:rFonts w:ascii="Arial" w:hAnsi="Arial" w:cs="Arial"/>
          <w:i/>
          <w:i/>
          <w:u w:val="single"/>
        </w:rPr>
      </w:pPr>
      <w:r>
        <w:rPr>
          <w:rFonts w:cs="Arial" w:ascii="Arial" w:hAnsi="Arial"/>
          <w:i/>
          <w:u w:val="single"/>
        </w:rPr>
        <w:t>Summary Background (back from current position)</w:t>
      </w:r>
    </w:p>
    <w:p>
      <w:pPr>
        <w:pStyle w:val="Normal"/>
        <w:rPr>
          <w:rFonts w:ascii="Arial" w:hAnsi="Arial" w:cs="Arial"/>
        </w:rPr>
      </w:pPr>
      <w:r>
        <w:rPr>
          <w:rFonts w:cs="Arial" w:ascii="Arial" w:hAnsi="Arial"/>
        </w:rPr>
        <w:t>Vice President, International Governmental Relations (initial concentration on Latin America; more recently Asia/Pacific)</w:t>
      </w:r>
    </w:p>
    <w:p>
      <w:pPr>
        <w:pStyle w:val="Normal"/>
        <w:rPr>
          <w:rFonts w:ascii="Arial" w:hAnsi="Arial" w:cs="Arial"/>
        </w:rPr>
      </w:pPr>
      <w:r>
        <w:rPr>
          <w:rFonts w:cs="Arial" w:ascii="Arial" w:hAnsi="Arial"/>
        </w:rPr>
        <w:t>President, Enron Americas (5 LPG-based retail businesses in Venezuela, Puerto Rico and Jamaica plus a manufacturing venture with General Electric; over 4,000 employees; over US$ 60 million in Net Income during 5-year tenure; IPO in Venezuela.</w:t>
      </w:r>
    </w:p>
    <w:p>
      <w:pPr>
        <w:pStyle w:val="Normal"/>
        <w:rPr>
          <w:rFonts w:ascii="Arial" w:hAnsi="Arial" w:cs="Arial"/>
        </w:rPr>
      </w:pPr>
      <w:r>
        <w:rPr>
          <w:rFonts w:cs="Arial" w:ascii="Arial" w:hAnsi="Arial"/>
        </w:rPr>
        <w:t>Vice President, Planning and Administration, Enron Gas Processing (company strategic and financial plan, equity and asset acquisitions, contract administration, 4 month special assignment in Argentina)</w:t>
      </w:r>
    </w:p>
    <w:p>
      <w:pPr>
        <w:pStyle w:val="Normal"/>
        <w:spacing w:before="60" w:after="60"/>
        <w:rPr>
          <w:rFonts w:ascii="Arial" w:hAnsi="Arial" w:cs="Arial"/>
        </w:rPr>
      </w:pPr>
      <w:r>
        <w:rPr>
          <w:rFonts w:cs="Arial" w:ascii="Arial" w:hAnsi="Arial"/>
        </w:rPr>
        <w:t>Director (at the time “Managing”), Corporate Development, Enron (including predecessor positions, 10 years of mergers and acquisition work which included the structuring of the InterNoth and Houston Natural Gas “merger” to form Enron in 1985)</w:t>
      </w:r>
    </w:p>
    <w:sectPr>
      <w:headerReference w:type="default" r:id="rId4"/>
      <w:headerReference w:type="first" r:id="rId5"/>
      <w:type w:val="nextPage"/>
      <w:pgSz w:w="12240" w:h="15840"/>
      <w:pgMar w:left="1800" w:right="1800" w:gutter="0" w:header="720" w:top="1080" w:footer="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numPr>
        <w:ilvl w:val="0"/>
        <w:numId w:val="1"/>
      </w:numPr>
      <w:spacing w:before="180" w:after="0"/>
      <w:outlineLvl w:val="0"/>
    </w:pPr>
    <w:rPr>
      <w:b/>
      <w:sz w:val="24"/>
    </w:rPr>
  </w:style>
  <w:style w:type="paragraph" w:styleId="Heading2">
    <w:name w:val="heading 2"/>
    <w:basedOn w:val="Heading1"/>
    <w:next w:val="Normal"/>
    <w:qFormat/>
    <w:pPr>
      <w:numPr>
        <w:ilvl w:val="1"/>
        <w:numId w:val="1"/>
      </w:numPr>
      <w:spacing w:before="120" w:after="0"/>
      <w:outlineLvl w:val="1"/>
    </w:pPr>
    <w:rPr>
      <w:sz w:val="22"/>
    </w:rPr>
  </w:style>
  <w:style w:type="paragraph" w:styleId="Heading3">
    <w:name w:val="heading 3"/>
    <w:basedOn w:val="Heading2"/>
    <w:next w:val="Normal"/>
    <w:qFormat/>
    <w:pPr>
      <w:numPr>
        <w:ilvl w:val="2"/>
        <w:numId w:val="1"/>
      </w:numPr>
      <w:outlineLvl w:val="2"/>
    </w:pPr>
    <w:rPr>
      <w:sz w:val="20"/>
    </w:rPr>
  </w:style>
  <w:style w:type="paragraph" w:styleId="Heading4">
    <w:name w:val="heading 4"/>
    <w:basedOn w:val="Normal"/>
    <w:next w:val="Normal"/>
    <w:qFormat/>
    <w:pPr>
      <w:keepNext w:val="true"/>
      <w:numPr>
        <w:ilvl w:val="3"/>
        <w:numId w:val="1"/>
      </w:numPr>
      <w:outlineLvl w:val="3"/>
    </w:pPr>
    <w:rPr>
      <w:rFonts w:ascii="Arial" w:hAnsi="Arial" w:cs="Arial"/>
      <w:i/>
      <w:u w:val="singl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Heading1"/>
    <w:next w:val="BodyText"/>
    <w:qFormat/>
    <w:pPr>
      <w:numPr>
        <w:ilvl w:val="0"/>
        <w:numId w:val="0"/>
      </w:numPr>
      <w:spacing w:before="0" w:after="0"/>
      <w:outlineLvl w:val="9"/>
    </w:pPr>
    <w:rPr/>
  </w:style>
  <w:style w:type="paragraph" w:styleId="BodyText">
    <w:name w:val="Body Text"/>
    <w:basedOn w:val="Normal"/>
    <w:pPr>
      <w:spacing w:lineRule="auto" w:line="276" w:before="0" w:after="140"/>
    </w:pPr>
    <w:rPr/>
  </w:style>
  <w:style w:type="paragraph" w:styleId="List">
    <w:name w:val="List"/>
    <w:basedOn w:val="Normal"/>
    <w:pPr>
      <w:ind w:hanging="360" w:start="720" w:end="0"/>
    </w:pPr>
    <w:rPr/>
  </w:style>
  <w:style w:type="paragraph" w:styleId="Caption">
    <w:name w:val="caption"/>
    <w:basedOn w:val="Normal"/>
    <w:next w:val="Normal"/>
    <w:qFormat/>
    <w:pPr>
      <w:jc w:val="center"/>
    </w:pPr>
    <w:rPr>
      <w:rFonts w:ascii="Arial" w:hAnsi="Arial" w:cs="Arial"/>
      <w:b/>
      <w:sz w:val="24"/>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 w:val="right" w:pos="9000" w:leader="none"/>
      </w:tabs>
      <w:spacing w:before="0" w:after="0"/>
    </w:pPr>
    <w:rPr/>
  </w:style>
  <w:style w:type="paragraph" w:styleId="FootnoteText">
    <w:name w:val="footnote text"/>
    <w:basedOn w:val="Normal"/>
    <w:pPr>
      <w:ind w:hanging="360" w:start="360" w:end="0"/>
    </w:pPr>
    <w:rPr/>
  </w:style>
  <w:style w:type="paragraph" w:styleId="NormalIndent">
    <w:name w:val="Normal Indent"/>
    <w:basedOn w:val="Normal"/>
    <w:qFormat/>
    <w:pPr>
      <w:ind w:hanging="0" w:start="720" w:end="0"/>
    </w:pPr>
    <w:rPr/>
  </w:style>
  <w:style w:type="paragraph" w:styleId="SubList">
    <w:name w:val="SubList"/>
    <w:basedOn w:val="List"/>
    <w:qFormat/>
    <w:pPr>
      <w:ind w:hanging="360" w:start="1440" w:end="0"/>
    </w:pPr>
    <w:rPr/>
  </w:style>
  <w:style w:type="paragraph" w:styleId="Subject">
    <w:name w:val="Subject"/>
    <w:basedOn w:val="Normal"/>
    <w:qFormat/>
    <w:pPr/>
    <w:rPr/>
  </w:style>
  <w:style w:type="paragraph" w:styleId="Date">
    <w:name w:val="Date"/>
    <w:basedOn w:val="Normal"/>
    <w:qFormat/>
    <w:pPr/>
    <w:rPr/>
  </w:style>
  <w:style w:type="paragraph" w:styleId="To">
    <w:name w:val="To"/>
    <w:basedOn w:val="Normal"/>
    <w:qFormat/>
    <w:pPr/>
    <w:rPr/>
  </w:style>
  <w:style w:type="paragraph" w:styleId="From">
    <w:name w:val="From"/>
    <w:basedOn w:val="Normal"/>
    <w:qFormat/>
    <w:pPr/>
    <w:rPr/>
  </w:style>
  <w:style w:type="paragraph" w:styleId="Closed">
    <w:name w:val="Closed"/>
    <w:basedOn w:val="Normal"/>
    <w:qFormat/>
    <w:pPr>
      <w:spacing w:before="0" w:after="0"/>
    </w:pPr>
    <w:rPr/>
  </w:style>
  <w:style w:type="paragraph" w:styleId="CopyList">
    <w:name w:val="CopyList"/>
    <w:basedOn w:val="Normal"/>
    <w:qFormat/>
    <w:pPr>
      <w:tabs>
        <w:tab w:val="clear" w:pos="720"/>
        <w:tab w:val="left" w:pos="504" w:leader="none"/>
      </w:tabs>
      <w:spacing w:before="360" w:after="0"/>
      <w:ind w:hanging="504" w:start="504"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Eimemo</Template>
  <TotalTime>307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2000-02-08T03:18:00Z</dcterms:created>
  <dc:creator>Madeline Chan</dc:creator>
  <dc:description/>
  <dc:language>en-CA</dc:language>
  <cp:lastModifiedBy>EI</cp:lastModifiedBy>
  <cp:lastPrinted>1998-06-17T15:18:00Z</cp:lastPrinted>
  <dcterms:modified xsi:type="dcterms:W3CDTF">2000-02-08T08:26:00Z</dcterms:modified>
  <cp:revision>17</cp:revision>
  <dc:subject>EOG Organizational Opportunities</dc:subject>
  <dc:title> </dc:title>
</cp:coreProperties>
</file>