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sz w:val="32"/>
        </w:rPr>
      </w:pPr>
      <w:r>
        <w:rPr>
          <w:rFonts w:cs="Arial" w:ascii="Arial" w:hAnsi="Arial"/>
          <w:b/>
          <w:sz w:val="32"/>
          <w:u w:val="single"/>
        </w:rPr>
        <w:t>Red Rock Expansion Offering Package</w:t>
      </w:r>
    </w:p>
    <w:p>
      <w:pPr>
        <w:pStyle w:val="Normal"/>
        <w:rPr>
          <w:rFonts w:ascii="Arial" w:hAnsi="Arial" w:cs="Arial"/>
          <w:b/>
          <w:sz w:val="24"/>
        </w:rPr>
      </w:pPr>
      <w:r>
        <w:rPr>
          <w:rFonts w:cs="Arial" w:ascii="Arial" w:hAnsi="Arial"/>
          <w:b/>
          <w:sz w:val="24"/>
        </w:rPr>
      </w:r>
    </w:p>
    <w:p>
      <w:pPr>
        <w:pStyle w:val="Normal"/>
        <w:ind w:firstLine="720" w:end="0"/>
        <w:rPr/>
      </w:pPr>
      <w:r>
        <w:rPr>
          <w:rFonts w:cs="Arial" w:ascii="Arial" w:hAnsi="Arial"/>
          <w:b/>
        </w:rPr>
        <w:t>Volume</w:t>
      </w:r>
      <w:r>
        <w:rPr>
          <w:rFonts w:cs="Arial" w:ascii="Arial" w:hAnsi="Arial"/>
        </w:rPr>
        <w:t>:</w:t>
        <w:tab/>
        <w:t xml:space="preserve">150,000 Dth/day </w:t>
      </w:r>
    </w:p>
    <w:p>
      <w:pPr>
        <w:pStyle w:val="Normal"/>
        <w:rPr>
          <w:rFonts w:ascii="Arial" w:hAnsi="Arial" w:cs="Arial"/>
        </w:rPr>
      </w:pPr>
      <w:r>
        <w:rPr>
          <w:rFonts w:cs="Arial" w:ascii="Arial" w:hAnsi="Arial"/>
        </w:rPr>
      </w:r>
    </w:p>
    <w:p>
      <w:pPr>
        <w:pStyle w:val="Normal"/>
        <w:ind w:firstLine="720" w:end="0"/>
        <w:rPr/>
      </w:pPr>
      <w:r>
        <w:rPr>
          <w:rFonts w:cs="Arial" w:ascii="Arial" w:hAnsi="Arial"/>
          <w:b/>
        </w:rPr>
        <w:t>Rates/Term</w:t>
      </w:r>
      <w:r>
        <w:rPr>
          <w:rFonts w:cs="Arial" w:ascii="Arial" w:hAnsi="Arial"/>
        </w:rPr>
        <w:t>:</w:t>
        <w:tab/>
      </w:r>
      <w:r>
        <w:rPr>
          <w:rFonts w:cs="Arial" w:ascii="Arial" w:hAnsi="Arial"/>
          <w:u w:val="single"/>
        </w:rPr>
        <w:t>5 year</w:t>
      </w:r>
      <w:r>
        <w:rPr>
          <w:rFonts w:cs="Arial" w:ascii="Arial" w:hAnsi="Arial"/>
        </w:rPr>
        <w:tab/>
        <w:tab/>
      </w:r>
      <w:r>
        <w:rPr>
          <w:rFonts w:cs="Arial" w:ascii="Arial" w:hAnsi="Arial"/>
          <w:u w:val="single"/>
        </w:rPr>
        <w:t>10 year</w:t>
      </w:r>
      <w:r>
        <w:rPr>
          <w:rFonts w:cs="Arial" w:ascii="Arial" w:hAnsi="Arial"/>
        </w:rPr>
        <w:tab/>
        <w:tab/>
      </w:r>
      <w:r>
        <w:rPr>
          <w:rFonts w:cs="Arial" w:ascii="Arial" w:hAnsi="Arial"/>
          <w:u w:val="single"/>
        </w:rPr>
        <w:t>15 year</w:t>
      </w:r>
    </w:p>
    <w:p>
      <w:pPr>
        <w:pStyle w:val="Normal"/>
        <w:ind w:firstLine="720" w:end="0"/>
        <w:rPr>
          <w:rFonts w:ascii="Arial" w:hAnsi="Arial" w:cs="Arial"/>
        </w:rPr>
      </w:pPr>
      <w:r>
        <w:rPr>
          <w:rFonts w:cs="Arial" w:ascii="Arial" w:hAnsi="Arial"/>
        </w:rPr>
        <w:tab/>
        <w:tab/>
        <w:t>$0.63</w:t>
        <w:tab/>
        <w:tab/>
        <w:t>$0.43</w:t>
        <w:tab/>
        <w:tab/>
        <w:t>$0.38</w:t>
      </w:r>
    </w:p>
    <w:p>
      <w:pPr>
        <w:pStyle w:val="Normal"/>
        <w:ind w:firstLine="720" w:start="1440" w:end="0"/>
        <w:rPr>
          <w:rFonts w:ascii="Arial" w:hAnsi="Arial" w:cs="Arial"/>
        </w:rPr>
      </w:pPr>
      <w:r>
        <w:rPr>
          <w:rFonts w:cs="Arial" w:ascii="Arial" w:hAnsi="Arial"/>
        </w:rPr>
        <w:t>The one-part rates include all demand, commodity and surcharges.</w:t>
      </w:r>
    </w:p>
    <w:p>
      <w:pPr>
        <w:pStyle w:val="Normal"/>
        <w:ind w:start="2160" w:end="0"/>
        <w:rPr>
          <w:rFonts w:ascii="Arial" w:hAnsi="Arial" w:cs="Arial"/>
        </w:rPr>
      </w:pPr>
      <w:r>
        <w:rPr>
          <w:rFonts w:cs="Arial" w:ascii="Arial" w:hAnsi="Arial"/>
        </w:rPr>
        <w:t>Shippers agree to pay 5% percent fuel.  Resulting contracts will be negotiated rate deals with lock-in rates and fuel.  The minimum acceptable term is 5 years.</w:t>
      </w:r>
    </w:p>
    <w:p>
      <w:pPr>
        <w:pStyle w:val="Normal"/>
        <w:rPr>
          <w:rFonts w:ascii="Arial" w:hAnsi="Arial" w:cs="Arial"/>
        </w:rPr>
      </w:pPr>
      <w:r>
        <w:rPr>
          <w:rFonts w:cs="Arial" w:ascii="Arial" w:hAnsi="Arial"/>
        </w:rPr>
      </w:r>
    </w:p>
    <w:p>
      <w:pPr>
        <w:pStyle w:val="Normal"/>
        <w:rPr/>
      </w:pPr>
      <w:r>
        <w:rPr>
          <w:rFonts w:cs="Arial" w:ascii="Arial" w:hAnsi="Arial"/>
        </w:rPr>
        <w:tab/>
      </w:r>
      <w:r>
        <w:rPr>
          <w:rFonts w:cs="Arial" w:ascii="Arial" w:hAnsi="Arial"/>
          <w:b/>
        </w:rPr>
        <w:t>Points of Delivery/Receipt</w:t>
      </w:r>
      <w:r>
        <w:rPr>
          <w:rFonts w:cs="Arial" w:ascii="Arial" w:hAnsi="Arial"/>
        </w:rPr>
        <w:t>:</w:t>
      </w:r>
    </w:p>
    <w:p>
      <w:pPr>
        <w:pStyle w:val="Normal"/>
        <w:rPr>
          <w:rFonts w:ascii="Arial" w:hAnsi="Arial" w:cs="Arial"/>
        </w:rPr>
      </w:pPr>
      <w:r>
        <w:rPr>
          <w:rFonts w:cs="Arial" w:ascii="Arial" w:hAnsi="Arial"/>
        </w:rPr>
      </w:r>
    </w:p>
    <w:p>
      <w:pPr>
        <w:pStyle w:val="Normal"/>
        <w:ind w:firstLine="720" w:start="720" w:end="0"/>
        <w:rPr/>
      </w:pPr>
      <w:r>
        <w:rPr>
          <w:rFonts w:cs="Arial" w:ascii="Arial" w:hAnsi="Arial"/>
        </w:rPr>
        <w:t>Primary Receipt Points:</w:t>
        <w:tab/>
        <w:tab/>
        <w:tab/>
      </w:r>
      <w:r>
        <w:rPr>
          <w:rFonts w:cs="Arial" w:ascii="Arial" w:hAnsi="Arial"/>
          <w:sz w:val="18"/>
        </w:rPr>
        <w:t>East of Thoreau</w:t>
      </w:r>
      <w:r>
        <w:rPr>
          <w:rFonts w:cs="Arial" w:ascii="Arial" w:hAnsi="Arial"/>
        </w:rPr>
        <w:t xml:space="preserve"> </w:t>
      </w:r>
    </w:p>
    <w:p>
      <w:pPr>
        <w:pStyle w:val="Normal"/>
        <w:rPr>
          <w:rFonts w:ascii="Arial" w:hAnsi="Arial" w:cs="Arial"/>
        </w:rPr>
      </w:pPr>
      <w:r>
        <w:rPr>
          <w:rFonts w:cs="Arial" w:ascii="Arial" w:hAnsi="Arial"/>
        </w:rPr>
      </w:r>
    </w:p>
    <w:p>
      <w:pPr>
        <w:pStyle w:val="Normal"/>
        <w:ind w:firstLine="720" w:start="720" w:end="0"/>
        <w:rPr>
          <w:rFonts w:ascii="Arial" w:hAnsi="Arial" w:cs="Arial"/>
        </w:rPr>
      </w:pPr>
      <w:r>
        <w:rPr>
          <w:rFonts w:cs="Arial" w:ascii="Arial" w:hAnsi="Arial"/>
        </w:rPr>
        <w:t>Primary Delivery Points:</w:t>
      </w:r>
    </w:p>
    <w:p>
      <w:pPr>
        <w:pStyle w:val="Normal"/>
        <w:ind w:firstLine="720" w:start="1440" w:end="0"/>
        <w:rPr/>
      </w:pPr>
      <w:r>
        <w:rPr>
          <w:rFonts w:cs="Arial" w:ascii="Arial" w:hAnsi="Arial"/>
        </w:rPr>
        <w:t>Topock Lateral Capacity:</w:t>
        <w:tab/>
      </w:r>
      <w:r>
        <w:rPr>
          <w:rFonts w:cs="Arial" w:ascii="Arial" w:hAnsi="Arial"/>
          <w:sz w:val="18"/>
        </w:rPr>
        <w:t xml:space="preserve">92,000 MMBtu </w:t>
      </w:r>
    </w:p>
    <w:p>
      <w:pPr>
        <w:pStyle w:val="Normal"/>
        <w:ind w:firstLine="720" w:start="1440" w:end="0"/>
        <w:rPr>
          <w:rFonts w:ascii="Arial" w:hAnsi="Arial" w:cs="Arial"/>
          <w:sz w:val="18"/>
        </w:rPr>
      </w:pPr>
      <w:r>
        <w:rPr>
          <w:rFonts w:eastAsia="Arial" w:cs="Arial" w:ascii="Arial" w:hAnsi="Arial"/>
          <w:sz w:val="18"/>
        </w:rPr>
        <w:t xml:space="preserve">  </w:t>
      </w:r>
      <w:r>
        <w:rPr>
          <w:rFonts w:cs="Arial" w:ascii="Arial" w:hAnsi="Arial"/>
          <w:sz w:val="18"/>
        </w:rPr>
        <w:t>- Available Point Capacity:</w:t>
        <w:tab/>
        <w:t>PGE/Topock, POI # 56698 (126,000 MMBtu)</w:t>
      </w:r>
    </w:p>
    <w:p>
      <w:pPr>
        <w:pStyle w:val="Normal"/>
        <w:ind w:end="-1800"/>
        <w:rPr>
          <w:rFonts w:ascii="Arial" w:hAnsi="Arial" w:cs="Arial"/>
          <w:sz w:val="18"/>
        </w:rPr>
      </w:pPr>
      <w:r>
        <w:rPr>
          <w:rFonts w:cs="Arial" w:ascii="Arial" w:hAnsi="Arial"/>
          <w:sz w:val="18"/>
        </w:rPr>
        <w:tab/>
        <w:tab/>
        <w:tab/>
        <w:tab/>
        <w:tab/>
        <w:tab/>
        <w:tab/>
        <w:t>Mojave Topock, POI # 56696, (280,000 MMBtu)</w:t>
      </w:r>
    </w:p>
    <w:p>
      <w:pPr>
        <w:pStyle w:val="Normal"/>
        <w:ind w:end="-1800"/>
        <w:rPr>
          <w:rFonts w:ascii="Arial" w:hAnsi="Arial" w:cs="Arial"/>
          <w:sz w:val="18"/>
        </w:rPr>
      </w:pPr>
      <w:r>
        <w:rPr>
          <w:rFonts w:cs="Arial" w:ascii="Arial" w:hAnsi="Arial"/>
          <w:sz w:val="18"/>
        </w:rPr>
        <w:tab/>
        <w:tab/>
        <w:tab/>
        <w:tab/>
        <w:tab/>
        <w:tab/>
        <w:tab/>
        <w:t>Calpine/Southpoint, POI #78113 (76,000 MMBtu)</w:t>
      </w:r>
    </w:p>
    <w:p>
      <w:pPr>
        <w:pStyle w:val="Normal"/>
        <w:ind w:firstLine="720" w:start="3600" w:end="-1800"/>
        <w:rPr>
          <w:rFonts w:ascii="Arial" w:hAnsi="Arial" w:cs="Arial"/>
        </w:rPr>
      </w:pPr>
      <w:r>
        <w:rPr>
          <w:rFonts w:cs="Arial" w:ascii="Arial" w:hAnsi="Arial"/>
        </w:rPr>
        <w:tab/>
        <w:tab/>
        <w:tab/>
        <w:tab/>
      </w:r>
    </w:p>
    <w:p>
      <w:pPr>
        <w:pStyle w:val="Normal"/>
        <w:ind w:firstLine="720" w:start="1440" w:end="-1800"/>
        <w:rPr/>
      </w:pPr>
      <w:r>
        <w:rPr>
          <w:rFonts w:cs="Arial" w:ascii="Arial" w:hAnsi="Arial"/>
        </w:rPr>
        <w:t>Other Delivery Points:</w:t>
        <w:tab/>
        <w:tab/>
      </w:r>
      <w:r>
        <w:rPr>
          <w:rFonts w:cs="Arial" w:ascii="Arial" w:hAnsi="Arial"/>
          <w:sz w:val="18"/>
        </w:rPr>
        <w:t>Southwest Gas, POI #78003 (86,000 MMBtu)</w:t>
      </w:r>
    </w:p>
    <w:p>
      <w:pPr>
        <w:pStyle w:val="Normal"/>
        <w:ind w:end="-1800"/>
        <w:rPr>
          <w:rFonts w:ascii="Arial" w:hAnsi="Arial" w:cs="Arial"/>
        </w:rPr>
      </w:pPr>
      <w:r>
        <w:rPr>
          <w:rFonts w:cs="Arial" w:ascii="Arial" w:hAnsi="Arial"/>
          <w:sz w:val="18"/>
        </w:rPr>
        <w:tab/>
        <w:tab/>
        <w:tab/>
        <w:tab/>
        <w:tab/>
        <w:tab/>
        <w:tab/>
        <w:t>Citizens/Griffith, POI #78069 (120,000 MMBtu)</w:t>
      </w:r>
    </w:p>
    <w:p>
      <w:pPr>
        <w:pStyle w:val="Normal"/>
        <w:rPr>
          <w:rFonts w:ascii="Arial" w:hAnsi="Arial" w:cs="Arial"/>
        </w:rPr>
      </w:pPr>
      <w:r>
        <w:rPr>
          <w:rFonts w:cs="Arial" w:ascii="Arial" w:hAnsi="Arial"/>
        </w:rPr>
      </w:r>
    </w:p>
    <w:p>
      <w:pPr>
        <w:pStyle w:val="Normal"/>
        <w:rPr/>
      </w:pPr>
      <w:r>
        <w:rPr>
          <w:rFonts w:cs="Arial" w:ascii="Arial" w:hAnsi="Arial"/>
        </w:rPr>
        <w:tab/>
      </w:r>
      <w:r>
        <w:rPr>
          <w:rFonts w:cs="Arial" w:ascii="Arial" w:hAnsi="Arial"/>
          <w:b/>
        </w:rPr>
        <w:t>Other Terms/Conditions</w:t>
      </w:r>
      <w:r>
        <w:rPr>
          <w:rFonts w:cs="Arial" w:ascii="Arial" w:hAnsi="Arial"/>
        </w:rPr>
        <w:t>:</w:t>
      </w:r>
    </w:p>
    <w:p>
      <w:pPr>
        <w:pStyle w:val="Normal"/>
        <w:ind w:hanging="1440" w:start="1440" w:end="0"/>
        <w:rPr>
          <w:rFonts w:ascii="Arial" w:hAnsi="Arial" w:cs="Arial"/>
        </w:rPr>
      </w:pPr>
      <w:r>
        <w:rPr>
          <w:rFonts w:cs="Arial" w:ascii="Arial" w:hAnsi="Arial"/>
        </w:rPr>
        <w:tab/>
        <w:t>Shippers shall base their bids on the standard offering package (primary path with alternate points within the path).  For any added flexibility (i.e., alternate point rights outside the path, ROFR, options, non-standard "out" date, etc.) shippers' bids shall reflect the value of such options in the rate.</w:t>
      </w:r>
    </w:p>
    <w:p>
      <w:pPr>
        <w:pStyle w:val="Normal"/>
        <w:ind w:hanging="1440" w:start="1440" w:end="0"/>
        <w:rPr>
          <w:rFonts w:ascii="Arial" w:hAnsi="Arial" w:cs="Arial"/>
        </w:rPr>
      </w:pPr>
      <w:r>
        <w:rPr>
          <w:rFonts w:cs="Arial" w:ascii="Arial" w:hAnsi="Arial"/>
        </w:rPr>
      </w:r>
    </w:p>
    <w:p>
      <w:pPr>
        <w:pStyle w:val="Normal"/>
        <w:ind w:hanging="720" w:start="720" w:end="0"/>
        <w:rPr/>
      </w:pPr>
      <w:r>
        <w:rPr>
          <w:rFonts w:cs="Arial" w:ascii="Arial" w:hAnsi="Arial"/>
        </w:rPr>
        <w:tab/>
      </w:r>
      <w:r>
        <w:rPr>
          <w:rFonts w:cs="Arial" w:ascii="Arial" w:hAnsi="Arial"/>
          <w:b/>
        </w:rPr>
        <w:t>Timeline</w:t>
      </w:r>
      <w:r>
        <w:rPr>
          <w:rFonts w:cs="Arial" w:ascii="Arial" w:hAnsi="Arial"/>
        </w:rPr>
        <w:t>:</w:t>
      </w:r>
    </w:p>
    <w:p>
      <w:pPr>
        <w:pStyle w:val="Normal"/>
        <w:ind w:start="1440" w:end="0"/>
        <w:rPr>
          <w:rFonts w:ascii="Arial" w:hAnsi="Arial" w:cs="Arial"/>
        </w:rPr>
      </w:pPr>
      <w:r>
        <w:rPr>
          <w:rFonts w:cs="Arial" w:ascii="Arial" w:hAnsi="Arial"/>
        </w:rPr>
        <w:t>Transwestern anticipates FERC filing by March 2, 2001, and an in-service date of the expansion by June 2002.</w:t>
      </w:r>
    </w:p>
    <w:p>
      <w:pPr>
        <w:pStyle w:val="Normal"/>
        <w:ind w:start="1440" w:end="0"/>
        <w:rPr>
          <w:rFonts w:ascii="Arial" w:hAnsi="Arial" w:cs="Arial"/>
        </w:rPr>
      </w:pPr>
      <w:r>
        <w:rPr>
          <w:rFonts w:cs="Arial" w:ascii="Arial" w:hAnsi="Arial"/>
        </w:rPr>
      </w:r>
    </w:p>
    <w:p>
      <w:pPr>
        <w:pStyle w:val="Normal"/>
        <w:rPr/>
      </w:pPr>
      <w:r>
        <w:rPr>
          <w:rFonts w:cs="Arial" w:ascii="Arial" w:hAnsi="Arial"/>
        </w:rPr>
        <w:tab/>
      </w:r>
      <w:r>
        <w:rPr>
          <w:rFonts w:cs="Arial" w:ascii="Arial" w:hAnsi="Arial"/>
          <w:b/>
        </w:rPr>
        <w:t>Support:</w:t>
      </w:r>
    </w:p>
    <w:p>
      <w:pPr>
        <w:pStyle w:val="Normal"/>
        <w:ind w:start="1440" w:end="0"/>
        <w:rPr>
          <w:rFonts w:ascii="Arial" w:hAnsi="Arial" w:cs="Arial"/>
        </w:rPr>
      </w:pPr>
      <w:r>
        <w:rPr>
          <w:rFonts w:cs="Arial" w:ascii="Arial" w:hAnsi="Arial"/>
        </w:rPr>
        <w:t>By placing a bid for capacity, Shipper agrees to file documents with the FERC that generally support Transwestern's expansion filing.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32"/>
          <w:u w:val="single"/>
        </w:rPr>
      </w:pPr>
      <w:r>
        <w:rPr>
          <w:rFonts w:cs="Arial" w:ascii="Arial" w:hAnsi="Arial"/>
          <w:b/>
          <w:sz w:val="32"/>
          <w:u w:val="single"/>
        </w:rPr>
        <w:t>Awarding Capacity</w:t>
        <w:tab/>
      </w:r>
    </w:p>
    <w:p>
      <w:pPr>
        <w:pStyle w:val="Normal"/>
        <w:rPr>
          <w:rFonts w:ascii="Arial" w:hAnsi="Arial" w:cs="Arial"/>
          <w:b/>
          <w:sz w:val="32"/>
          <w:u w:val="single"/>
        </w:rPr>
      </w:pPr>
      <w:r>
        <w:rPr>
          <w:rFonts w:cs="Arial" w:ascii="Arial" w:hAnsi="Arial"/>
          <w:b/>
          <w:sz w:val="32"/>
          <w:u w:val="single"/>
        </w:rPr>
      </w:r>
    </w:p>
    <w:p>
      <w:pPr>
        <w:pStyle w:val="Normal"/>
        <w:numPr>
          <w:ilvl w:val="0"/>
          <w:numId w:val="1"/>
        </w:numPr>
        <w:rPr>
          <w:rFonts w:ascii="Arial" w:hAnsi="Arial" w:cs="Arial"/>
        </w:rPr>
      </w:pPr>
      <w:r>
        <w:rPr>
          <w:rFonts w:cs="Arial" w:ascii="Arial" w:hAnsi="Arial"/>
        </w:rPr>
        <w:t>Transwestern shall contact all shippers who placed bids in its November 2000 Open Season (Tier 1).</w:t>
      </w:r>
    </w:p>
    <w:p>
      <w:pPr>
        <w:pStyle w:val="Normal"/>
        <w:numPr>
          <w:ilvl w:val="0"/>
          <w:numId w:val="1"/>
        </w:numPr>
        <w:rPr>
          <w:rFonts w:ascii="Arial" w:hAnsi="Arial" w:cs="Arial"/>
        </w:rPr>
      </w:pPr>
      <w:r>
        <w:rPr>
          <w:rFonts w:cs="Arial" w:ascii="Arial" w:hAnsi="Arial"/>
        </w:rPr>
        <w:t>Shippers must submit a binding bid to purchase capacity by 5:00 pm CCT, March 2, 2001.  Written offers must include material terms (rate, term, points, quantity). Shipper must indicate whether they will accept partial volume in the event of a tie.</w:t>
      </w:r>
    </w:p>
    <w:p>
      <w:pPr>
        <w:pStyle w:val="Normal"/>
        <w:numPr>
          <w:ilvl w:val="0"/>
          <w:numId w:val="1"/>
        </w:numPr>
        <w:rPr>
          <w:rFonts w:ascii="Arial" w:hAnsi="Arial" w:cs="Arial"/>
        </w:rPr>
      </w:pPr>
      <w:r>
        <w:rPr>
          <w:rFonts w:cs="Arial" w:ascii="Arial" w:hAnsi="Arial"/>
        </w:rPr>
        <w:t>Shippers' binding bids must be accompanied by a valid Request for Gas Transportation Service form.</w:t>
      </w:r>
    </w:p>
    <w:p>
      <w:pPr>
        <w:pStyle w:val="Normal"/>
        <w:numPr>
          <w:ilvl w:val="0"/>
          <w:numId w:val="1"/>
        </w:numPr>
        <w:rPr>
          <w:rFonts w:ascii="Arial" w:hAnsi="Arial" w:cs="Arial"/>
        </w:rPr>
      </w:pPr>
      <w:r>
        <w:rPr>
          <w:rFonts w:cs="Arial" w:ascii="Arial" w:hAnsi="Arial"/>
        </w:rPr>
        <w:t>Shippers submitting bids at rates less than those stated in the offering package or containing terms or conditions unacceptable to Transwestern shall not be accepted.</w:t>
      </w:r>
    </w:p>
    <w:p>
      <w:pPr>
        <w:pStyle w:val="Normal"/>
        <w:numPr>
          <w:ilvl w:val="0"/>
          <w:numId w:val="1"/>
        </w:numPr>
        <w:rPr>
          <w:rFonts w:ascii="Arial" w:hAnsi="Arial" w:cs="Arial"/>
        </w:rPr>
      </w:pPr>
      <w:r>
        <w:rPr>
          <w:rFonts w:cs="Arial" w:ascii="Arial" w:hAnsi="Arial"/>
        </w:rPr>
        <w:t>If the total volume of all bids received by Transwestern exceed the capacity of the proposed expansion, Transwestern will award the capacity based on highest absolute rate bid.</w:t>
      </w:r>
    </w:p>
    <w:p>
      <w:pPr>
        <w:pStyle w:val="Normal"/>
        <w:numPr>
          <w:ilvl w:val="0"/>
          <w:numId w:val="1"/>
        </w:numPr>
        <w:rPr>
          <w:rFonts w:ascii="Arial" w:hAnsi="Arial" w:cs="Arial"/>
        </w:rPr>
      </w:pPr>
      <w:r>
        <w:rPr>
          <w:rFonts w:cs="Arial" w:ascii="Arial" w:hAnsi="Arial"/>
        </w:rPr>
        <w:t>In the event of a tie, the capacity shall be awarded on a non-discriminatory basis pursuant to commision policy.  (If shippers ask any questions about this, tell them you'll get back to them with more details.)</w:t>
      </w:r>
    </w:p>
    <w:p>
      <w:pPr>
        <w:pStyle w:val="Normal"/>
        <w:numPr>
          <w:ilvl w:val="0"/>
          <w:numId w:val="1"/>
        </w:numPr>
        <w:rPr>
          <w:rFonts w:ascii="Arial" w:hAnsi="Arial" w:cs="Arial"/>
        </w:rPr>
      </w:pPr>
      <w:r>
        <w:rPr>
          <w:rFonts w:cs="Arial" w:ascii="Arial" w:hAnsi="Arial"/>
        </w:rPr>
        <w:t>In the event the expansion capacity is not awarded as a result of bids received by March 2, Transwestern will contact all shippers in Tier 2.</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32"/>
          <w:u w:val="single"/>
        </w:rPr>
      </w:pPr>
      <w:r>
        <w:rPr>
          <w:rFonts w:cs="Arial" w:ascii="Arial" w:hAnsi="Arial"/>
          <w:b/>
          <w:sz w:val="32"/>
          <w:u w:val="single"/>
        </w:rPr>
        <w:t>Shipper Contact List</w:t>
      </w:r>
    </w:p>
    <w:p>
      <w:pPr>
        <w:pStyle w:val="Normal"/>
        <w:rPr>
          <w:rFonts w:ascii="Arial" w:hAnsi="Arial" w:cs="Arial"/>
          <w:b/>
          <w:sz w:val="32"/>
          <w:u w:val="single"/>
        </w:rPr>
      </w:pPr>
      <w:r>
        <w:rPr>
          <w:rFonts w:cs="Arial" w:ascii="Arial" w:hAnsi="Arial"/>
          <w:b/>
          <w:sz w:val="32"/>
          <w:u w:val="single"/>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Tier 1-  Original bidders in November 2000 Open Season</w:t>
      </w:r>
    </w:p>
    <w:p>
      <w:pPr>
        <w:pStyle w:val="Normal"/>
        <w:rPr>
          <w:rFonts w:ascii="Arial" w:hAnsi="Arial" w:cs="Arial"/>
          <w:b/>
        </w:rPr>
      </w:pPr>
      <w:r>
        <w:rPr>
          <w:rFonts w:cs="Arial" w:ascii="Arial" w:hAnsi="Arial"/>
          <w:b/>
        </w:rPr>
      </w:r>
    </w:p>
    <w:p>
      <w:pPr>
        <w:pStyle w:val="Normal"/>
        <w:ind w:firstLine="720" w:start="720" w:end="0"/>
        <w:rPr/>
      </w:pPr>
      <w:r>
        <w:rPr>
          <w:rFonts w:cs="Arial" w:ascii="Arial" w:hAnsi="Arial"/>
          <w:b/>
          <w:u w:val="single"/>
        </w:rPr>
        <w:t>JF</w:t>
        <w:tab/>
      </w:r>
      <w:r>
        <w:rPr>
          <w:rFonts w:cs="Arial" w:ascii="Arial" w:hAnsi="Arial"/>
          <w:b/>
        </w:rPr>
        <w:tab/>
      </w:r>
      <w:r>
        <w:rPr>
          <w:rFonts w:cs="Arial" w:ascii="Arial" w:hAnsi="Arial"/>
          <w:b/>
          <w:u w:val="single"/>
        </w:rPr>
        <w:t>LL</w:t>
        <w:tab/>
      </w:r>
      <w:r>
        <w:rPr>
          <w:rFonts w:cs="Arial" w:ascii="Arial" w:hAnsi="Arial"/>
          <w:b/>
        </w:rPr>
        <w:tab/>
      </w:r>
      <w:r>
        <w:rPr>
          <w:rFonts w:cs="Arial" w:ascii="Arial" w:hAnsi="Arial"/>
          <w:b/>
          <w:u w:val="single"/>
        </w:rPr>
        <w:t>TK</w:t>
        <w:tab/>
      </w:r>
      <w:r>
        <w:rPr>
          <w:rFonts w:cs="Arial" w:ascii="Arial" w:hAnsi="Arial"/>
          <w:b/>
        </w:rPr>
        <w:tab/>
      </w:r>
      <w:r>
        <w:rPr>
          <w:rFonts w:cs="Arial" w:ascii="Arial" w:hAnsi="Arial"/>
          <w:b/>
          <w:u w:val="single"/>
        </w:rPr>
        <w:t>ML</w:t>
        <w:tab/>
      </w:r>
      <w:r>
        <w:rPr>
          <w:rFonts w:cs="Arial" w:ascii="Arial" w:hAnsi="Arial"/>
          <w:b/>
        </w:rPr>
        <w:tab/>
      </w:r>
      <w:r>
        <w:rPr>
          <w:rFonts w:cs="Arial" w:ascii="Arial" w:hAnsi="Arial"/>
          <w:b/>
          <w:u w:val="single"/>
        </w:rPr>
        <w:t>KH</w:t>
        <w:tab/>
      </w:r>
    </w:p>
    <w:p>
      <w:pPr>
        <w:pStyle w:val="Normal"/>
        <w:rPr>
          <w:rFonts w:ascii="Arial" w:hAnsi="Arial" w:cs="Arial"/>
        </w:rPr>
      </w:pPr>
      <w:r>
        <w:rPr>
          <w:rFonts w:cs="Arial" w:ascii="Arial" w:hAnsi="Arial"/>
        </w:rPr>
        <w:tab/>
        <w:tab/>
        <w:t>Sempra</w:t>
        <w:tab/>
        <w:tab/>
        <w:t>BP</w:t>
        <w:tab/>
        <w:tab/>
        <w:tab/>
        <w:tab/>
        <w:t>Burlington</w:t>
        <w:tab/>
      </w:r>
    </w:p>
    <w:p>
      <w:pPr>
        <w:pStyle w:val="Normal"/>
        <w:rPr>
          <w:rFonts w:ascii="Arial" w:hAnsi="Arial" w:cs="Arial"/>
        </w:rPr>
      </w:pPr>
      <w:r>
        <w:rPr>
          <w:rFonts w:cs="Arial" w:ascii="Arial" w:hAnsi="Arial"/>
        </w:rPr>
        <w:tab/>
        <w:tab/>
        <w:t>ENA</w:t>
        <w:tab/>
        <w:tab/>
        <w:t>Red Cedar</w:t>
        <w:tab/>
        <w:tab/>
        <w:tab/>
        <w:t>Eprime</w:t>
      </w:r>
    </w:p>
    <w:p>
      <w:pPr>
        <w:pStyle w:val="Normal"/>
        <w:rPr>
          <w:rFonts w:ascii="Arial" w:hAnsi="Arial" w:cs="Arial"/>
        </w:rPr>
      </w:pPr>
      <w:r>
        <w:rPr>
          <w:rFonts w:cs="Arial" w:ascii="Arial" w:hAnsi="Arial"/>
        </w:rPr>
        <w:tab/>
        <w:tab/>
        <w:t>SMUD</w:t>
        <w:tab/>
        <w:tab/>
        <w:t>Texaco</w:t>
        <w:tab/>
        <w:tab/>
        <w:tab/>
        <w:tab/>
        <w:t>Oneok</w:t>
      </w:r>
    </w:p>
    <w:p>
      <w:pPr>
        <w:pStyle w:val="Normal"/>
        <w:rPr>
          <w:rFonts w:ascii="Arial" w:hAnsi="Arial" w:cs="Arial"/>
        </w:rPr>
      </w:pPr>
      <w:r>
        <w:rPr>
          <w:rFonts w:cs="Arial" w:ascii="Arial" w:hAnsi="Arial"/>
        </w:rPr>
        <w:tab/>
        <w:tab/>
        <w:t>Calpine</w:t>
        <w:tab/>
        <w:tab/>
        <w:t>Duke</w:t>
        <w:tab/>
        <w:tab/>
        <w:tab/>
        <w:tab/>
        <w:t>CMS</w:t>
      </w:r>
    </w:p>
    <w:p>
      <w:pPr>
        <w:pStyle w:val="Normal"/>
        <w:rPr>
          <w:rFonts w:ascii="Arial" w:hAnsi="Arial" w:cs="Arial"/>
        </w:rPr>
      </w:pPr>
      <w:r>
        <w:rPr>
          <w:rFonts w:cs="Arial" w:ascii="Arial" w:hAnsi="Arial"/>
        </w:rPr>
        <w:tab/>
        <w:tab/>
        <w:t>USGT</w:t>
        <w:tab/>
        <w:tab/>
        <w:t>EP Merchant</w:t>
        <w:tab/>
        <w:tab/>
        <w:tab/>
        <w:t>Reliant</w:t>
        <w:tab/>
      </w:r>
    </w:p>
    <w:p>
      <w:pPr>
        <w:pStyle w:val="Normal"/>
        <w:rPr>
          <w:rFonts w:ascii="Arial" w:hAnsi="Arial" w:cs="Arial"/>
        </w:rPr>
      </w:pPr>
      <w:r>
        <w:rPr>
          <w:rFonts w:cs="Arial" w:ascii="Arial" w:hAnsi="Arial"/>
        </w:rPr>
        <w:tab/>
        <w:tab/>
        <w:tab/>
        <w:tab/>
        <w:t>Barrett</w:t>
        <w:tab/>
        <w:tab/>
        <w:tab/>
        <w:tab/>
        <w:t>Richardson</w:t>
        <w:tab/>
        <w:tab/>
        <w:tab/>
      </w:r>
    </w:p>
    <w:p>
      <w:pPr>
        <w:pStyle w:val="Normal"/>
        <w:rPr>
          <w:rFonts w:ascii="Arial" w:hAnsi="Arial" w:cs="Arial"/>
        </w:rPr>
      </w:pPr>
      <w:r>
        <w:rPr>
          <w:rFonts w:cs="Arial" w:ascii="Arial" w:hAnsi="Arial"/>
        </w:rPr>
        <w:tab/>
        <w:tab/>
        <w:tab/>
        <w:tab/>
        <w:t>Aquila</w:t>
      </w:r>
    </w:p>
    <w:p>
      <w:pPr>
        <w:pStyle w:val="Normal"/>
        <w:rPr>
          <w:rFonts w:ascii="Arial" w:hAnsi="Arial" w:cs="Arial"/>
        </w:rPr>
      </w:pPr>
      <w:r>
        <w:rPr>
          <w:rFonts w:cs="Arial" w:ascii="Arial" w:hAnsi="Arial"/>
        </w:rPr>
        <w:tab/>
        <w:tab/>
        <w:tab/>
        <w:tab/>
      </w:r>
    </w:p>
    <w:p>
      <w:pPr>
        <w:pStyle w:val="Normal"/>
        <w:rPr>
          <w:rFonts w:ascii="Arial" w:hAnsi="Arial" w:cs="Arial"/>
          <w:b/>
        </w:rPr>
      </w:pPr>
      <w:r>
        <w:rPr>
          <w:rFonts w:cs="Arial" w:ascii="Arial" w:hAnsi="Arial"/>
          <w:b/>
        </w:rPr>
        <w:t>Tier 2-</w:t>
        <w:tab/>
        <w:t>Bidders with interest in Expansion but received after deadline for Open Season</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rPr>
        <w:tab/>
        <w:tab/>
      </w:r>
      <w:r>
        <w:rPr>
          <w:rFonts w:cs="Arial" w:ascii="Arial" w:hAnsi="Arial"/>
          <w:b/>
          <w:u w:val="single"/>
        </w:rPr>
        <w:t>JF</w:t>
        <w:tab/>
      </w:r>
      <w:r>
        <w:rPr>
          <w:rFonts w:cs="Arial" w:ascii="Arial" w:hAnsi="Arial"/>
          <w:b/>
        </w:rPr>
        <w:tab/>
      </w:r>
      <w:r>
        <w:rPr>
          <w:rFonts w:cs="Arial" w:ascii="Arial" w:hAnsi="Arial"/>
          <w:b/>
          <w:u w:val="single"/>
        </w:rPr>
        <w:t>LL</w:t>
        <w:tab/>
      </w:r>
      <w:r>
        <w:rPr>
          <w:rFonts w:cs="Arial" w:ascii="Arial" w:hAnsi="Arial"/>
          <w:b/>
        </w:rPr>
        <w:tab/>
      </w:r>
      <w:r>
        <w:rPr>
          <w:rFonts w:cs="Arial" w:ascii="Arial" w:hAnsi="Arial"/>
          <w:b/>
          <w:u w:val="single"/>
        </w:rPr>
        <w:t>TK</w:t>
        <w:tab/>
      </w:r>
      <w:r>
        <w:rPr>
          <w:rFonts w:cs="Arial" w:ascii="Arial" w:hAnsi="Arial"/>
          <w:b/>
        </w:rPr>
        <w:tab/>
      </w:r>
      <w:r>
        <w:rPr>
          <w:rFonts w:cs="Arial" w:ascii="Arial" w:hAnsi="Arial"/>
          <w:b/>
          <w:u w:val="single"/>
        </w:rPr>
        <w:t>ML</w:t>
        <w:tab/>
      </w:r>
      <w:r>
        <w:rPr>
          <w:rFonts w:cs="Arial" w:ascii="Arial" w:hAnsi="Arial"/>
          <w:b/>
        </w:rPr>
        <w:tab/>
      </w:r>
      <w:r>
        <w:rPr>
          <w:rFonts w:cs="Arial" w:ascii="Arial" w:hAnsi="Arial"/>
          <w:b/>
          <w:u w:val="single"/>
        </w:rPr>
        <w:t>KH</w:t>
        <w:tab/>
      </w:r>
    </w:p>
    <w:p>
      <w:pPr>
        <w:pStyle w:val="Normal"/>
        <w:rPr>
          <w:rFonts w:ascii="Arial" w:hAnsi="Arial" w:cs="Arial"/>
        </w:rPr>
      </w:pPr>
      <w:r>
        <w:rPr>
          <w:rFonts w:cs="Arial" w:ascii="Arial" w:hAnsi="Arial"/>
        </w:rPr>
        <w:tab/>
        <w:tab/>
        <w:t>PPL</w:t>
        <w:tab/>
        <w:tab/>
        <w:t>SWG</w:t>
        <w:tab/>
        <w:tab/>
        <w:tab/>
        <w:tab/>
        <w:t>AEP</w:t>
        <w:tab/>
        <w:tab/>
        <w:t>Agave</w:t>
      </w:r>
    </w:p>
    <w:p>
      <w:pPr>
        <w:pStyle w:val="Normal"/>
        <w:rPr>
          <w:rFonts w:ascii="Arial" w:hAnsi="Arial" w:cs="Arial"/>
        </w:rPr>
      </w:pPr>
      <w:r>
        <w:rPr>
          <w:rFonts w:cs="Arial" w:ascii="Arial" w:hAnsi="Arial"/>
        </w:rPr>
        <w:tab/>
        <w:tab/>
        <w:t>Dynegy</w:t>
        <w:tab/>
        <w:tab/>
        <w:t>SCEM</w:t>
        <w:tab/>
        <w:tab/>
        <w:tab/>
        <w:tab/>
        <w:t xml:space="preserve">Tenaska </w:t>
        <w:tab/>
        <w:t>MAVRx</w:t>
      </w:r>
    </w:p>
    <w:p>
      <w:pPr>
        <w:pStyle w:val="Normal"/>
        <w:rPr>
          <w:rFonts w:ascii="Arial" w:hAnsi="Arial" w:cs="Arial"/>
        </w:rPr>
      </w:pPr>
      <w:r>
        <w:rPr>
          <w:rFonts w:cs="Arial" w:ascii="Arial" w:hAnsi="Arial"/>
        </w:rPr>
        <w:tab/>
        <w:tab/>
        <w:t>TXU</w:t>
        <w:tab/>
        <w:tab/>
        <w:t>Williams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footerReference w:type="default" r:id="rId2"/>
      <w:type w:val="nextPage"/>
      <w:pgSz w:w="12240" w:h="15840"/>
      <w:pgMar w:left="1800" w:right="180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N:\Homedept\Tw_nng\TW Desk\Lindberg\Exp2A.doc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2001-02-15T17:03:00Z</dcterms:created>
  <dc:creator>Enron</dc:creator>
  <dc:description/>
  <dc:language>en-CA</dc:language>
  <cp:lastModifiedBy>Lorraine Lindberg</cp:lastModifiedBy>
  <cp:lastPrinted>2001-02-16T09:47:00Z</cp:lastPrinted>
  <dcterms:modified xsi:type="dcterms:W3CDTF">2001-02-20T12:16:00Z</dcterms:modified>
  <cp:revision>11</cp:revision>
  <dc:subject/>
  <dc:title>Bid Package # 1</dc:title>
</cp:coreProperties>
</file>