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 w:leader="none"/>
          <w:tab w:val="left" w:pos="1620" w:leader="none"/>
        </w:tabs>
        <w:ind w:hanging="1620" w:start="1620" w:end="0"/>
        <w:jc w:val="center"/>
        <w:rPr>
          <w:b/>
        </w:rPr>
      </w:pPr>
      <w:r>
        <w:rPr>
          <w:b/>
        </w:rPr>
        <w:t>EXHIBIT A</w:t>
      </w:r>
    </w:p>
    <w:p>
      <w:pPr>
        <w:pStyle w:val="Normal"/>
        <w:jc w:val="center"/>
        <w:rPr>
          <w:b/>
          <w:sz w:val="32"/>
        </w:rPr>
      </w:pPr>
      <w:r>
        <w:rPr>
          <w:b/>
          <w:sz w:val="32"/>
        </w:rPr>
      </w:r>
    </w:p>
    <w:p>
      <w:pPr>
        <w:pStyle w:val="Normal"/>
        <w:jc w:val="center"/>
        <w:rPr>
          <w:b/>
          <w:sz w:val="28"/>
        </w:rPr>
      </w:pPr>
      <w:r>
        <w:rPr>
          <w:b/>
          <w:sz w:val="28"/>
        </w:rPr>
        <w:t>"ELIGIBLE SWAP PARTICIPANTS"</w:t>
      </w:r>
    </w:p>
    <w:p>
      <w:pPr>
        <w:pStyle w:val="Normal"/>
        <w:ind w:hanging="720" w:start="720" w:end="0"/>
        <w:jc w:val="both"/>
        <w:rPr>
          <w:b/>
          <w:sz w:val="28"/>
        </w:rPr>
      </w:pPr>
      <w:r>
        <w:rPr>
          <w:b/>
          <w:sz w:val="28"/>
        </w:rPr>
      </w:r>
    </w:p>
    <w:p>
      <w:pPr>
        <w:pStyle w:val="Normal"/>
        <w:ind w:hanging="720" w:start="720" w:end="0"/>
        <w:jc w:val="both"/>
        <w:rPr>
          <w:sz w:val="22"/>
        </w:rPr>
      </w:pPr>
      <w:r>
        <w:rPr>
          <w:sz w:val="22"/>
        </w:rPr>
        <w:tab/>
        <w:t>The swap agreement must be between "eligible swap participants" which include:</w:t>
      </w:r>
    </w:p>
    <w:p>
      <w:pPr>
        <w:pStyle w:val="Normal"/>
        <w:ind w:hanging="720" w:start="1440" w:end="0"/>
        <w:jc w:val="both"/>
        <w:rPr>
          <w:sz w:val="22"/>
        </w:rPr>
      </w:pPr>
      <w:r>
        <w:rPr>
          <w:sz w:val="22"/>
        </w:rPr>
      </w:r>
    </w:p>
    <w:p>
      <w:pPr>
        <w:pStyle w:val="Normal"/>
        <w:numPr>
          <w:ilvl w:val="0"/>
          <w:numId w:val="1"/>
        </w:numPr>
        <w:ind w:hanging="720" w:start="720" w:end="0"/>
        <w:jc w:val="both"/>
        <w:rPr>
          <w:sz w:val="22"/>
        </w:rPr>
      </w:pPr>
      <w:r>
        <w:rPr>
          <w:sz w:val="22"/>
        </w:rPr>
        <w:t>a bank or trust company (acting on its own behalf or on behalf of another eligible swap participant);</w:t>
      </w:r>
    </w:p>
    <w:p>
      <w:pPr>
        <w:pStyle w:val="Normal"/>
        <w:numPr>
          <w:ilvl w:val="0"/>
          <w:numId w:val="0"/>
        </w:numPr>
        <w:ind w:hanging="720" w:start="720" w:end="0"/>
        <w:jc w:val="both"/>
        <w:rPr>
          <w:sz w:val="22"/>
        </w:rPr>
      </w:pPr>
      <w:r>
        <w:rPr>
          <w:sz w:val="22"/>
        </w:rPr>
      </w:r>
    </w:p>
    <w:p>
      <w:pPr>
        <w:pStyle w:val="Normal"/>
        <w:numPr>
          <w:ilvl w:val="0"/>
          <w:numId w:val="1"/>
        </w:numPr>
        <w:jc w:val="both"/>
        <w:rPr>
          <w:sz w:val="22"/>
        </w:rPr>
      </w:pPr>
      <w:r>
        <w:rPr>
          <w:sz w:val="22"/>
        </w:rPr>
        <w:t>a savings association or credit union;</w:t>
      </w:r>
    </w:p>
    <w:p>
      <w:pPr>
        <w:pStyle w:val="Normal"/>
        <w:numPr>
          <w:ilvl w:val="0"/>
          <w:numId w:val="0"/>
        </w:numPr>
        <w:ind w:hanging="720" w:start="720" w:end="0"/>
        <w:jc w:val="both"/>
        <w:rPr>
          <w:sz w:val="22"/>
        </w:rPr>
      </w:pPr>
      <w:r>
        <w:rPr>
          <w:sz w:val="22"/>
        </w:rPr>
      </w:r>
    </w:p>
    <w:p>
      <w:pPr>
        <w:pStyle w:val="Normal"/>
        <w:numPr>
          <w:ilvl w:val="0"/>
          <w:numId w:val="1"/>
        </w:numPr>
        <w:jc w:val="both"/>
        <w:rPr>
          <w:sz w:val="22"/>
        </w:rPr>
      </w:pPr>
      <w:r>
        <w:rPr>
          <w:sz w:val="22"/>
        </w:rPr>
        <w:t>an insurance company;</w:t>
      </w:r>
    </w:p>
    <w:p>
      <w:pPr>
        <w:pStyle w:val="Normal"/>
        <w:numPr>
          <w:ilvl w:val="0"/>
          <w:numId w:val="0"/>
        </w:numPr>
        <w:ind w:hanging="720" w:start="720" w:end="0"/>
        <w:jc w:val="both"/>
        <w:rPr>
          <w:sz w:val="22"/>
        </w:rPr>
      </w:pPr>
      <w:r>
        <w:rPr>
          <w:sz w:val="22"/>
        </w:rPr>
      </w:r>
    </w:p>
    <w:p>
      <w:pPr>
        <w:pStyle w:val="Normal"/>
        <w:numPr>
          <w:ilvl w:val="0"/>
          <w:numId w:val="1"/>
        </w:numPr>
        <w:jc w:val="both"/>
        <w:rPr>
          <w:sz w:val="22"/>
        </w:rPr>
      </w:pPr>
      <w:r>
        <w:rPr>
          <w:sz w:val="22"/>
        </w:rPr>
        <w:t>an investment company subject to regulation under the Investment Company Act of 1940 or a similarly regulated foreign person;</w:t>
      </w:r>
    </w:p>
    <w:p>
      <w:pPr>
        <w:pStyle w:val="Normal"/>
        <w:numPr>
          <w:ilvl w:val="0"/>
          <w:numId w:val="0"/>
        </w:numPr>
        <w:ind w:hanging="720" w:start="720" w:end="0"/>
        <w:jc w:val="both"/>
        <w:rPr>
          <w:sz w:val="22"/>
        </w:rPr>
      </w:pPr>
      <w:r>
        <w:rPr>
          <w:sz w:val="22"/>
        </w:rPr>
      </w:r>
    </w:p>
    <w:p>
      <w:pPr>
        <w:pStyle w:val="Normal"/>
        <w:numPr>
          <w:ilvl w:val="0"/>
          <w:numId w:val="1"/>
        </w:numPr>
        <w:jc w:val="both"/>
        <w:rPr>
          <w:sz w:val="22"/>
        </w:rPr>
      </w:pPr>
      <w:r>
        <w:rPr>
          <w:sz w:val="22"/>
        </w:rPr>
        <w:t>a commodity pool subject to the Commodity Exchange Act (“CEA”) having assets exceeding $5 million or a similarly regulated foreign person;</w:t>
      </w:r>
    </w:p>
    <w:p>
      <w:pPr>
        <w:pStyle w:val="Normal"/>
        <w:numPr>
          <w:ilvl w:val="0"/>
          <w:numId w:val="0"/>
        </w:numPr>
        <w:ind w:hanging="720" w:start="720" w:end="0"/>
        <w:jc w:val="both"/>
        <w:rPr>
          <w:sz w:val="22"/>
        </w:rPr>
      </w:pPr>
      <w:r>
        <w:rPr>
          <w:sz w:val="22"/>
        </w:rPr>
      </w:r>
    </w:p>
    <w:p>
      <w:pPr>
        <w:pStyle w:val="Normal"/>
        <w:numPr>
          <w:ilvl w:val="0"/>
          <w:numId w:val="1"/>
        </w:numPr>
        <w:jc w:val="both"/>
        <w:rPr>
          <w:sz w:val="22"/>
        </w:rPr>
      </w:pPr>
      <w:r>
        <w:rPr>
          <w:sz w:val="22"/>
        </w:rPr>
        <w:t>a corporation, partnership, proprietorship, organization, trust or other entity (not formed for the specific purpose of constituting an eligible swap participant) (A) having total assets in excess of $10 million, (B) the obligations of the swap agreement are guaranteed by a letter of credit or other agreement, by an entity referred to in Items 1 – 6 or 8, or (C) which has a net worth of $1 million and enters into the swap agreement in connection with the conduct of its business, or which has a net worth of $1 million and enters into the swap agreement to manage the risk of an asset or liability owned or incurred in the conduct of its business or reasonably likely to be owned or incurred in the conduct of its business;</w:t>
      </w:r>
    </w:p>
    <w:p>
      <w:pPr>
        <w:pStyle w:val="Normal"/>
        <w:numPr>
          <w:ilvl w:val="0"/>
          <w:numId w:val="0"/>
        </w:numPr>
        <w:ind w:hanging="720" w:start="720" w:end="0"/>
        <w:jc w:val="both"/>
        <w:rPr>
          <w:sz w:val="22"/>
        </w:rPr>
      </w:pPr>
      <w:r>
        <w:rPr>
          <w:sz w:val="22"/>
        </w:rPr>
      </w:r>
    </w:p>
    <w:p>
      <w:pPr>
        <w:pStyle w:val="Normal"/>
        <w:numPr>
          <w:ilvl w:val="0"/>
          <w:numId w:val="1"/>
        </w:numPr>
        <w:jc w:val="both"/>
        <w:rPr>
          <w:sz w:val="22"/>
        </w:rPr>
      </w:pPr>
      <w:r>
        <w:rPr>
          <w:sz w:val="22"/>
        </w:rPr>
        <w:t>employee benefit plans subject to ERISA with total assets exceeding $5 million or whose investment decisions are made by a bank, trust company, insurance company, investment adviser subject to the Investment Advisors Act of 1940, or a commodity trading advisor subject to the CEA;</w:t>
      </w:r>
    </w:p>
    <w:p>
      <w:pPr>
        <w:pStyle w:val="Normal"/>
        <w:numPr>
          <w:ilvl w:val="0"/>
          <w:numId w:val="0"/>
        </w:numPr>
        <w:ind w:hanging="720" w:start="720" w:end="0"/>
        <w:jc w:val="both"/>
        <w:rPr>
          <w:sz w:val="22"/>
        </w:rPr>
      </w:pPr>
      <w:r>
        <w:rPr>
          <w:sz w:val="22"/>
        </w:rPr>
      </w:r>
    </w:p>
    <w:p>
      <w:pPr>
        <w:pStyle w:val="Normal"/>
        <w:numPr>
          <w:ilvl w:val="0"/>
          <w:numId w:val="1"/>
        </w:numPr>
        <w:jc w:val="both"/>
        <w:rPr>
          <w:sz w:val="22"/>
        </w:rPr>
      </w:pPr>
      <w:r>
        <w:rPr>
          <w:sz w:val="22"/>
        </w:rPr>
        <w:t>any governmental entity (including the United States, any state, or any foreign government) or political subdivision thereof, or any multinational or supranational entity or any instrumentality, agency, or department of any of the foregoing;</w:t>
      </w:r>
    </w:p>
    <w:p>
      <w:pPr>
        <w:pStyle w:val="Normal"/>
        <w:numPr>
          <w:ilvl w:val="0"/>
          <w:numId w:val="0"/>
        </w:numPr>
        <w:ind w:hanging="720" w:start="720" w:end="0"/>
        <w:jc w:val="both"/>
        <w:rPr>
          <w:sz w:val="22"/>
        </w:rPr>
      </w:pPr>
      <w:r>
        <w:rPr>
          <w:sz w:val="22"/>
        </w:rPr>
      </w:r>
    </w:p>
    <w:p>
      <w:pPr>
        <w:pStyle w:val="Normal"/>
        <w:numPr>
          <w:ilvl w:val="0"/>
          <w:numId w:val="1"/>
        </w:numPr>
        <w:jc w:val="both"/>
        <w:rPr>
          <w:sz w:val="22"/>
        </w:rPr>
      </w:pPr>
      <w:r>
        <w:rPr>
          <w:sz w:val="22"/>
        </w:rPr>
        <w:t xml:space="preserve">any broker dealer subject to regulation under the Securities Exchange Act of 1934 or a foreign person performing a similar role or function subject as such to foreign regulation, acting on its own behalf or on behalf of another eligible swap participant:  </w:t>
      </w:r>
      <w:r>
        <w:rPr>
          <w:i/>
          <w:sz w:val="22"/>
        </w:rPr>
        <w:t>provided, however</w:t>
      </w:r>
      <w:r>
        <w:rPr>
          <w:sz w:val="22"/>
        </w:rPr>
        <w:t>, that if such broker-dealer is a natural person or proprietorship, the broker-dealer must also meet the requirements of Item 6 above or Item 11;</w:t>
      </w:r>
    </w:p>
    <w:p>
      <w:pPr>
        <w:pStyle w:val="Normal"/>
        <w:numPr>
          <w:ilvl w:val="0"/>
          <w:numId w:val="0"/>
        </w:numPr>
        <w:ind w:hanging="720" w:start="720" w:end="0"/>
        <w:jc w:val="both"/>
        <w:rPr>
          <w:sz w:val="22"/>
        </w:rPr>
      </w:pPr>
      <w:r>
        <w:rPr>
          <w:sz w:val="22"/>
        </w:rPr>
      </w:r>
    </w:p>
    <w:p>
      <w:pPr>
        <w:pStyle w:val="Normal"/>
        <w:numPr>
          <w:ilvl w:val="0"/>
          <w:numId w:val="1"/>
        </w:numPr>
        <w:jc w:val="both"/>
        <w:rPr>
          <w:sz w:val="22"/>
        </w:rPr>
      </w:pPr>
      <w:r>
        <w:rPr>
          <w:sz w:val="22"/>
        </w:rPr>
        <w:t xml:space="preserve">a futures commission merchant, floor broker, or floor trader subject to the CEA or a foreign person performing a similar function subject as such to foreign regulation acting on its own behalf or on behalf of another eligible swap participant, </w:t>
      </w:r>
      <w:r>
        <w:rPr>
          <w:i/>
          <w:sz w:val="22"/>
        </w:rPr>
        <w:t>provided, however</w:t>
      </w:r>
      <w:r>
        <w:rPr>
          <w:sz w:val="22"/>
        </w:rPr>
        <w:t>,  that if such futures commission merchant, floor broker, or floor trader is a natural person or proprietorship, the futures commission merchant, floor broker, or floor trader must also meet the requirements of Item 6 above or Item 11 below; or</w:t>
      </w:r>
    </w:p>
    <w:p>
      <w:pPr>
        <w:pStyle w:val="Normal"/>
        <w:numPr>
          <w:ilvl w:val="0"/>
          <w:numId w:val="0"/>
        </w:numPr>
        <w:ind w:hanging="720" w:start="720" w:end="0"/>
        <w:jc w:val="both"/>
        <w:rPr>
          <w:sz w:val="22"/>
        </w:rPr>
      </w:pPr>
      <w:r>
        <w:rPr>
          <w:sz w:val="22"/>
        </w:rPr>
      </w:r>
    </w:p>
    <w:p>
      <w:pPr>
        <w:pStyle w:val="Normal"/>
        <w:numPr>
          <w:ilvl w:val="0"/>
          <w:numId w:val="1"/>
        </w:numPr>
        <w:jc w:val="both"/>
        <w:rPr>
          <w:sz w:val="22"/>
        </w:rPr>
      </w:pPr>
      <w:r>
        <w:rPr>
          <w:sz w:val="22"/>
        </w:rPr>
        <w:t>a natural person having total assets in excess of $10 million.</w:t>
      </w:r>
      <w:r>
        <w:br w:type="page"/>
      </w:r>
    </w:p>
    <w:p>
      <w:pPr>
        <w:pStyle w:val="Normal"/>
        <w:jc w:val="center"/>
        <w:rPr>
          <w:b/>
        </w:rPr>
      </w:pPr>
      <w:r>
        <w:rPr>
          <w:b/>
        </w:rPr>
        <w:t>EXHIBIT B</w:t>
      </w:r>
    </w:p>
    <w:p>
      <w:pPr>
        <w:pStyle w:val="Normal"/>
        <w:jc w:val="center"/>
        <w:rPr>
          <w:b/>
          <w:sz w:val="32"/>
        </w:rPr>
      </w:pPr>
      <w:r>
        <w:rPr>
          <w:b/>
          <w:sz w:val="32"/>
        </w:rPr>
      </w:r>
    </w:p>
    <w:p>
      <w:pPr>
        <w:pStyle w:val="Normal"/>
        <w:jc w:val="center"/>
        <w:rPr>
          <w:b/>
          <w:sz w:val="28"/>
        </w:rPr>
      </w:pPr>
      <w:r>
        <w:rPr>
          <w:b/>
          <w:sz w:val="28"/>
        </w:rPr>
        <w:t>Enumerated Agricultural Commodities Part 32 §32.2</w:t>
      </w:r>
    </w:p>
    <w:p>
      <w:pPr>
        <w:pStyle w:val="Normal"/>
        <w:jc w:val="center"/>
        <w:rPr>
          <w:b/>
          <w:sz w:val="28"/>
        </w:rPr>
      </w:pPr>
      <w:r>
        <w:rPr>
          <w:b/>
          <w:sz w:val="28"/>
        </w:rPr>
      </w:r>
    </w:p>
    <w:p>
      <w:pPr>
        <w:pStyle w:val="Normal"/>
        <w:rPr>
          <w:b/>
          <w:sz w:val="28"/>
        </w:rPr>
      </w:pPr>
      <w:r>
        <w:rPr>
          <w:b/>
          <w:sz w:val="28"/>
        </w:rPr>
      </w:r>
    </w:p>
    <w:p>
      <w:pPr>
        <w:pStyle w:val="BodyTextIndent"/>
        <w:tabs>
          <w:tab w:val="clear" w:pos="1440"/>
          <w:tab w:val="left" w:pos="540" w:leader="none"/>
        </w:tabs>
        <w:ind w:hanging="0" w:start="0" w:end="0"/>
        <w:rPr/>
      </w:pPr>
      <w:r>
        <w:rPr/>
        <w:t>1.</w:t>
        <w:tab/>
        <w:t>Wheat</w:t>
      </w:r>
    </w:p>
    <w:p>
      <w:pPr>
        <w:pStyle w:val="BodyTextIndent"/>
        <w:tabs>
          <w:tab w:val="clear" w:pos="1440"/>
          <w:tab w:val="left" w:pos="540" w:leader="none"/>
        </w:tabs>
        <w:ind w:hanging="0" w:start="0" w:end="0"/>
        <w:rPr/>
      </w:pPr>
      <w:r>
        <w:rPr/>
        <w:t>2.</w:t>
        <w:tab/>
        <w:t>Cotton</w:t>
      </w:r>
    </w:p>
    <w:p>
      <w:pPr>
        <w:pStyle w:val="BodyTextIndent"/>
        <w:tabs>
          <w:tab w:val="clear" w:pos="1440"/>
          <w:tab w:val="left" w:pos="540" w:leader="none"/>
        </w:tabs>
        <w:ind w:hanging="0" w:start="0" w:end="0"/>
        <w:rPr/>
      </w:pPr>
      <w:r>
        <w:rPr/>
        <w:t>3.</w:t>
        <w:tab/>
        <w:t>Rice</w:t>
      </w:r>
    </w:p>
    <w:p>
      <w:pPr>
        <w:pStyle w:val="BodyTextIndent"/>
        <w:tabs>
          <w:tab w:val="clear" w:pos="1440"/>
          <w:tab w:val="left" w:pos="540" w:leader="none"/>
        </w:tabs>
        <w:ind w:hanging="0" w:start="0" w:end="0"/>
        <w:rPr/>
      </w:pPr>
      <w:r>
        <w:rPr/>
        <w:t>4.</w:t>
        <w:tab/>
        <w:t>Corn</w:t>
      </w:r>
    </w:p>
    <w:p>
      <w:pPr>
        <w:pStyle w:val="BodyTextIndent"/>
        <w:tabs>
          <w:tab w:val="clear" w:pos="1440"/>
          <w:tab w:val="left" w:pos="540" w:leader="none"/>
        </w:tabs>
        <w:ind w:hanging="0" w:start="0" w:end="0"/>
        <w:rPr/>
      </w:pPr>
      <w:r>
        <w:rPr/>
        <w:t>5.</w:t>
        <w:tab/>
        <w:t>Oats</w:t>
      </w:r>
    </w:p>
    <w:p>
      <w:pPr>
        <w:pStyle w:val="BodyTextIndent"/>
        <w:tabs>
          <w:tab w:val="clear" w:pos="1440"/>
          <w:tab w:val="left" w:pos="540" w:leader="none"/>
        </w:tabs>
        <w:ind w:hanging="0" w:start="0" w:end="0"/>
        <w:rPr/>
      </w:pPr>
      <w:r>
        <w:rPr/>
        <w:t>6.</w:t>
        <w:tab/>
        <w:t>Barley</w:t>
      </w:r>
    </w:p>
    <w:p>
      <w:pPr>
        <w:pStyle w:val="BodyTextIndent"/>
        <w:tabs>
          <w:tab w:val="clear" w:pos="1440"/>
          <w:tab w:val="left" w:pos="540" w:leader="none"/>
        </w:tabs>
        <w:ind w:hanging="0" w:start="0" w:end="0"/>
        <w:rPr/>
      </w:pPr>
      <w:r>
        <w:rPr/>
        <w:t>7.</w:t>
        <w:tab/>
        <w:t>Rye</w:t>
      </w:r>
    </w:p>
    <w:p>
      <w:pPr>
        <w:pStyle w:val="BodyTextIndent"/>
        <w:tabs>
          <w:tab w:val="clear" w:pos="1440"/>
          <w:tab w:val="left" w:pos="540" w:leader="none"/>
        </w:tabs>
        <w:ind w:hanging="0" w:start="0" w:end="0"/>
        <w:rPr/>
      </w:pPr>
      <w:r>
        <w:rPr/>
        <w:t>8.</w:t>
        <w:tab/>
        <w:t>Flaxseed</w:t>
      </w:r>
    </w:p>
    <w:p>
      <w:pPr>
        <w:pStyle w:val="BodyTextIndent"/>
        <w:tabs>
          <w:tab w:val="clear" w:pos="1440"/>
          <w:tab w:val="left" w:pos="540" w:leader="none"/>
        </w:tabs>
        <w:ind w:hanging="0" w:start="0" w:end="0"/>
        <w:rPr/>
      </w:pPr>
      <w:r>
        <w:rPr/>
        <w:t>9.</w:t>
        <w:tab/>
        <w:t>Grain sorghums</w:t>
      </w:r>
    </w:p>
    <w:p>
      <w:pPr>
        <w:pStyle w:val="BodyTextIndent"/>
        <w:tabs>
          <w:tab w:val="clear" w:pos="1440"/>
          <w:tab w:val="left" w:pos="540" w:leader="none"/>
        </w:tabs>
        <w:ind w:hanging="0" w:start="0" w:end="0"/>
        <w:rPr/>
      </w:pPr>
      <w:r>
        <w:rPr/>
        <w:t>10.</w:t>
        <w:tab/>
        <w:t>Mill feeds</w:t>
      </w:r>
    </w:p>
    <w:p>
      <w:pPr>
        <w:pStyle w:val="BodyTextIndent"/>
        <w:tabs>
          <w:tab w:val="clear" w:pos="1440"/>
          <w:tab w:val="left" w:pos="540" w:leader="none"/>
        </w:tabs>
        <w:ind w:hanging="0" w:start="0" w:end="0"/>
        <w:rPr/>
      </w:pPr>
      <w:r>
        <w:rPr/>
        <w:t>11.</w:t>
        <w:tab/>
        <w:t>Butter</w:t>
      </w:r>
    </w:p>
    <w:p>
      <w:pPr>
        <w:pStyle w:val="BodyTextIndent"/>
        <w:tabs>
          <w:tab w:val="clear" w:pos="1440"/>
          <w:tab w:val="left" w:pos="540" w:leader="none"/>
        </w:tabs>
        <w:ind w:hanging="0" w:start="0" w:end="0"/>
        <w:rPr/>
      </w:pPr>
      <w:r>
        <w:rPr/>
        <w:t>12.</w:t>
        <w:tab/>
        <w:t>Eggs</w:t>
      </w:r>
    </w:p>
    <w:p>
      <w:pPr>
        <w:pStyle w:val="BodyTextIndent"/>
        <w:tabs>
          <w:tab w:val="clear" w:pos="1440"/>
          <w:tab w:val="left" w:pos="540" w:leader="none"/>
        </w:tabs>
        <w:ind w:hanging="0" w:start="0" w:end="0"/>
        <w:rPr/>
      </w:pPr>
      <w:r>
        <w:rPr/>
        <w:t>13.</w:t>
        <w:tab/>
        <w:t>Solanum tuberosum (Irish potatoes)</w:t>
      </w:r>
    </w:p>
    <w:p>
      <w:pPr>
        <w:pStyle w:val="BodyTextIndent"/>
        <w:tabs>
          <w:tab w:val="clear" w:pos="1440"/>
          <w:tab w:val="left" w:pos="540" w:leader="none"/>
        </w:tabs>
        <w:ind w:hanging="0" w:start="0" w:end="0"/>
        <w:rPr/>
      </w:pPr>
      <w:r>
        <w:rPr/>
        <w:t>14.</w:t>
        <w:tab/>
        <w:t>Wool</w:t>
      </w:r>
    </w:p>
    <w:p>
      <w:pPr>
        <w:pStyle w:val="BodyTextIndent"/>
        <w:tabs>
          <w:tab w:val="clear" w:pos="1440"/>
          <w:tab w:val="left" w:pos="540" w:leader="none"/>
        </w:tabs>
        <w:ind w:hanging="0" w:start="0" w:end="0"/>
        <w:rPr/>
      </w:pPr>
      <w:r>
        <w:rPr/>
        <w:t>15.</w:t>
        <w:tab/>
        <w:t>Wool tops</w:t>
      </w:r>
    </w:p>
    <w:p>
      <w:pPr>
        <w:pStyle w:val="BodyTextIndent"/>
        <w:tabs>
          <w:tab w:val="clear" w:pos="1440"/>
          <w:tab w:val="left" w:pos="540" w:leader="none"/>
        </w:tabs>
        <w:ind w:hanging="540" w:start="540" w:end="0"/>
        <w:rPr/>
      </w:pPr>
      <w:r>
        <w:rPr/>
        <w:t>16.</w:t>
        <w:tab/>
        <w:t>Fats and oils (including lard, tallow, cottonseed oil, peanut oil, soybean oil and all other fats and oils)</w:t>
      </w:r>
    </w:p>
    <w:p>
      <w:pPr>
        <w:pStyle w:val="BodyTextIndent"/>
        <w:tabs>
          <w:tab w:val="clear" w:pos="1440"/>
          <w:tab w:val="left" w:pos="540" w:leader="none"/>
        </w:tabs>
        <w:ind w:hanging="0" w:start="0" w:end="0"/>
        <w:rPr/>
      </w:pPr>
      <w:r>
        <w:rPr/>
        <w:t>17.</w:t>
        <w:tab/>
        <w:t>Cottonseed meal</w:t>
      </w:r>
    </w:p>
    <w:p>
      <w:pPr>
        <w:pStyle w:val="BodyTextIndent"/>
        <w:tabs>
          <w:tab w:val="clear" w:pos="1440"/>
          <w:tab w:val="left" w:pos="540" w:leader="none"/>
        </w:tabs>
        <w:ind w:hanging="0" w:start="0" w:end="0"/>
        <w:rPr/>
      </w:pPr>
      <w:r>
        <w:rPr/>
        <w:t>18.</w:t>
        <w:tab/>
        <w:t>Cottonseed</w:t>
      </w:r>
    </w:p>
    <w:p>
      <w:pPr>
        <w:pStyle w:val="BodyTextIndent"/>
        <w:tabs>
          <w:tab w:val="clear" w:pos="1440"/>
          <w:tab w:val="left" w:pos="540" w:leader="none"/>
        </w:tabs>
        <w:ind w:hanging="0" w:start="0" w:end="0"/>
        <w:rPr/>
      </w:pPr>
      <w:r>
        <w:rPr/>
        <w:t>19.</w:t>
        <w:tab/>
        <w:t>Peanuts</w:t>
      </w:r>
    </w:p>
    <w:p>
      <w:pPr>
        <w:pStyle w:val="BodyTextIndent"/>
        <w:tabs>
          <w:tab w:val="clear" w:pos="1440"/>
          <w:tab w:val="left" w:pos="540" w:leader="none"/>
        </w:tabs>
        <w:ind w:hanging="0" w:start="0" w:end="0"/>
        <w:rPr/>
      </w:pPr>
      <w:r>
        <w:rPr/>
        <w:t>20.</w:t>
        <w:tab/>
        <w:t>Soybeans</w:t>
      </w:r>
    </w:p>
    <w:p>
      <w:pPr>
        <w:pStyle w:val="BodyTextIndent"/>
        <w:tabs>
          <w:tab w:val="clear" w:pos="1440"/>
          <w:tab w:val="left" w:pos="540" w:leader="none"/>
        </w:tabs>
        <w:ind w:hanging="0" w:start="0" w:end="0"/>
        <w:rPr/>
      </w:pPr>
      <w:r>
        <w:rPr/>
        <w:t>21.</w:t>
        <w:tab/>
        <w:t>Soybean meal</w:t>
      </w:r>
    </w:p>
    <w:p>
      <w:pPr>
        <w:pStyle w:val="BodyTextIndent"/>
        <w:tabs>
          <w:tab w:val="clear" w:pos="1440"/>
          <w:tab w:val="left" w:pos="540" w:leader="none"/>
        </w:tabs>
        <w:ind w:hanging="0" w:start="0" w:end="0"/>
        <w:rPr/>
      </w:pPr>
      <w:r>
        <w:rPr/>
        <w:t>22.</w:t>
        <w:tab/>
        <w:t>Livestock</w:t>
      </w:r>
    </w:p>
    <w:p>
      <w:pPr>
        <w:pStyle w:val="BodyTextIndent"/>
        <w:tabs>
          <w:tab w:val="clear" w:pos="1440"/>
          <w:tab w:val="left" w:pos="540" w:leader="none"/>
        </w:tabs>
        <w:ind w:hanging="0" w:start="0" w:end="0"/>
        <w:rPr/>
      </w:pPr>
      <w:r>
        <w:rPr/>
        <w:t>23.</w:t>
        <w:tab/>
        <w:t>Livestock products</w:t>
      </w:r>
    </w:p>
    <w:p>
      <w:pPr>
        <w:pStyle w:val="BodyTextIndent"/>
        <w:tabs>
          <w:tab w:val="clear" w:pos="1440"/>
          <w:tab w:val="left" w:pos="540" w:leader="none"/>
        </w:tabs>
        <w:ind w:hanging="0" w:start="0" w:end="0"/>
        <w:rPr/>
      </w:pPr>
      <w:r>
        <w:rPr/>
        <w:t>24.</w:t>
        <w:tab/>
        <w:t>Frozen concentrated orange juice</w:t>
      </w:r>
    </w:p>
    <w:p>
      <w:pPr>
        <w:pStyle w:val="Normal"/>
        <w:rPr/>
      </w:pPr>
      <w:r>
        <w:rPr/>
      </w:r>
    </w:p>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/mnt/main-storage/datasets/enron-docs/doc/Exhibits_A___B.doc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BodyTextIndent">
    <w:name w:val="Body Text Indent"/>
    <w:basedOn w:val="Normal"/>
    <w:pPr>
      <w:tabs>
        <w:tab w:val="clear" w:pos="720"/>
        <w:tab w:val="left" w:pos="1440" w:leader="none"/>
      </w:tabs>
      <w:ind w:hanging="1440" w:start="1440" w:end="0"/>
      <w:jc w:val="both"/>
    </w:pPr>
    <w:rPr>
      <w:szCs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2000-08-04T13:14:00Z</dcterms:created>
  <dc:creator>kellis</dc:creator>
  <dc:description/>
  <dc:language>en-CA</dc:language>
  <cp:lastModifiedBy>kellis</cp:lastModifiedBy>
  <dcterms:modified xsi:type="dcterms:W3CDTF">2000-08-04T16:34:00Z</dcterms:modified>
  <cp:revision>2</cp:revision>
  <dc:subject/>
  <dc:title>EXHIBIT A</dc:title>
</cp:coreProperties>
</file>