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Exhibit C</w:t>
      </w:r>
    </w:p>
    <w:p>
      <w:pPr>
        <w:pStyle w:val="Normal"/>
        <w:jc w:val="center"/>
        <w:rPr>
          <w:b/>
        </w:rPr>
      </w:pPr>
      <w:r>
        <w:rPr>
          <w:b/>
        </w:rPr>
        <w:t>Fixed Specifications</w:t>
      </w:r>
    </w:p>
    <w:p>
      <w:pPr>
        <w:pStyle w:val="Normal"/>
        <w:rPr/>
      </w:pPr>
      <w:r>
        <w:rPr/>
      </w:r>
    </w:p>
    <w:p>
      <w:pPr>
        <w:pStyle w:val="Normal"/>
        <w:rPr/>
      </w:pPr>
      <w:r>
        <w:rPr/>
        <w:t>In addition to the contract guarantee points, the following specifications can be considered fixed with respect to this purchase order.</w:t>
      </w:r>
    </w:p>
    <w:p>
      <w:pPr>
        <w:pStyle w:val="Normal"/>
        <w:rPr/>
      </w:pPr>
      <w:r>
        <w:rPr/>
      </w:r>
    </w:p>
    <w:p>
      <w:pPr>
        <w:pStyle w:val="Normal"/>
        <w:rPr/>
      </w:pPr>
      <w:r>
        <w:rPr/>
      </w:r>
    </w:p>
    <w:p>
      <w:pPr>
        <w:pStyle w:val="Normal"/>
        <w:rPr>
          <w:b/>
        </w:rPr>
      </w:pPr>
      <w:r>
        <w:rPr>
          <w:b/>
        </w:rPr>
        <w:t>C.1</w:t>
        <w:tab/>
        <w:t>Exhaust Stack Height:</w:t>
      </w:r>
    </w:p>
    <w:p>
      <w:pPr>
        <w:pStyle w:val="Normal"/>
        <w:rPr/>
      </w:pPr>
      <w:r>
        <w:rPr/>
        <w:t>Each Unit contains an exhaust stack which discharges the powerplant exhaust gas.  The height of this stack will be determined by local regulations and dispersion analyses.  This stack may be any height up to 40 feet without impacting the price of the purchase order</w:t>
      </w:r>
    </w:p>
    <w:p>
      <w:pPr>
        <w:pStyle w:val="Normal"/>
        <w:rPr/>
      </w:pPr>
      <w:r>
        <w:rPr/>
      </w:r>
    </w:p>
    <w:p>
      <w:pPr>
        <w:pStyle w:val="Normal"/>
        <w:rPr/>
      </w:pPr>
      <w:r>
        <w:rPr/>
      </w:r>
    </w:p>
    <w:p>
      <w:pPr>
        <w:pStyle w:val="Normal"/>
        <w:rPr>
          <w:b/>
        </w:rPr>
      </w:pPr>
      <w:r>
        <w:rPr>
          <w:b/>
        </w:rPr>
        <w:t>C.2</w:t>
        <w:tab/>
        <w:t>Hazardous Materials</w:t>
      </w:r>
    </w:p>
    <w:p>
      <w:pPr>
        <w:pStyle w:val="Normal"/>
        <w:rPr/>
      </w:pPr>
      <w:r>
        <w:rPr/>
        <w:t>Anticipated hazardous materials inventory at the site is as follows:</w:t>
      </w:r>
    </w:p>
    <w:p>
      <w:pPr>
        <w:pStyle w:val="Normal"/>
        <w:jc w:val="center"/>
        <w:rPr/>
      </w:pPr>
      <w:r>
        <w:rPr/>
        <w:t>Table C.1 Anticipated hazardous materials inventory</w:t>
      </w:r>
    </w:p>
    <w:tbl>
      <w:tblPr>
        <w:tblW w:w="8659" w:type="dxa"/>
        <w:jc w:val="start"/>
        <w:tblInd w:w="0" w:type="dxa"/>
        <w:tblLayout w:type="fixed"/>
        <w:tblCellMar>
          <w:top w:w="0" w:type="dxa"/>
          <w:start w:w="30" w:type="dxa"/>
          <w:bottom w:w="0" w:type="dxa"/>
          <w:end w:w="30" w:type="dxa"/>
        </w:tblCellMar>
      </w:tblPr>
      <w:tblGrid>
        <w:gridCol w:w="6562"/>
        <w:gridCol w:w="1041"/>
        <w:gridCol w:w="1056"/>
      </w:tblGrid>
      <w:tr>
        <w:trPr>
          <w:trHeight w:val="262" w:hRule="atLeast"/>
        </w:trPr>
        <w:tc>
          <w:tcPr>
            <w:tcW w:w="6562" w:type="dxa"/>
            <w:tcBorders>
              <w:top w:val="single" w:sz="12" w:space="0" w:color="000000"/>
              <w:start w:val="single" w:sz="1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c>
          <w:tcPr>
            <w:tcW w:w="1041" w:type="dxa"/>
            <w:tcBorders>
              <w:top w:val="single" w:sz="12" w:space="0" w:color="000000"/>
              <w:start w:val="single" w:sz="6" w:space="0" w:color="000000"/>
              <w:end w:val="single" w:sz="6" w:space="0" w:color="000000"/>
            </w:tcBorders>
          </w:tcPr>
          <w:p>
            <w:pPr>
              <w:pStyle w:val="Normal"/>
              <w:jc w:val="end"/>
              <w:rPr>
                <w:color w:val="000000"/>
                <w:sz w:val="18"/>
                <w:lang w:eastAsia="en-US"/>
              </w:rPr>
            </w:pPr>
            <w:r>
              <w:rPr>
                <w:color w:val="000000"/>
                <w:sz w:val="18"/>
                <w:lang w:eastAsia="en-US"/>
              </w:rPr>
              <w:t>Normal</w:t>
            </w:r>
          </w:p>
        </w:tc>
        <w:tc>
          <w:tcPr>
            <w:tcW w:w="1056" w:type="dxa"/>
            <w:tcBorders>
              <w:top w:val="single" w:sz="12" w:space="0" w:color="000000"/>
              <w:start w:val="single" w:sz="6" w:space="0" w:color="000000"/>
              <w:end w:val="single" w:sz="12" w:space="0" w:color="000000"/>
            </w:tcBorders>
          </w:tcPr>
          <w:p>
            <w:pPr>
              <w:pStyle w:val="Normal"/>
              <w:jc w:val="end"/>
              <w:rPr>
                <w:color w:val="000000"/>
                <w:sz w:val="18"/>
                <w:lang w:eastAsia="en-US"/>
              </w:rPr>
            </w:pPr>
            <w:r>
              <w:rPr>
                <w:color w:val="000000"/>
                <w:sz w:val="18"/>
                <w:lang w:eastAsia="en-US"/>
              </w:rPr>
              <w:t>Maximum</w:t>
            </w:r>
          </w:p>
        </w:tc>
      </w:tr>
      <w:tr>
        <w:trPr>
          <w:trHeight w:val="262" w:hRule="atLeast"/>
        </w:trPr>
        <w:tc>
          <w:tcPr>
            <w:tcW w:w="6562" w:type="dxa"/>
            <w:tcBorders>
              <w:start w:val="single" w:sz="1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c>
          <w:tcPr>
            <w:tcW w:w="1041" w:type="dxa"/>
            <w:tcBorders>
              <w:start w:val="single" w:sz="6" w:space="0" w:color="000000"/>
              <w:end w:val="single" w:sz="6" w:space="0" w:color="000000"/>
            </w:tcBorders>
          </w:tcPr>
          <w:p>
            <w:pPr>
              <w:pStyle w:val="Normal"/>
              <w:jc w:val="end"/>
              <w:rPr>
                <w:color w:val="000000"/>
                <w:sz w:val="18"/>
                <w:lang w:eastAsia="en-US"/>
              </w:rPr>
            </w:pPr>
            <w:r>
              <w:rPr>
                <w:color w:val="000000"/>
                <w:sz w:val="18"/>
                <w:lang w:eastAsia="en-US"/>
              </w:rPr>
              <w:t>Amount</w:t>
            </w:r>
          </w:p>
        </w:tc>
        <w:tc>
          <w:tcPr>
            <w:tcW w:w="1056" w:type="dxa"/>
            <w:tcBorders>
              <w:start w:val="single" w:sz="6" w:space="0" w:color="000000"/>
              <w:end w:val="single" w:sz="12" w:space="0" w:color="000000"/>
            </w:tcBorders>
          </w:tcPr>
          <w:p>
            <w:pPr>
              <w:pStyle w:val="Normal"/>
              <w:jc w:val="end"/>
              <w:rPr>
                <w:color w:val="000000"/>
                <w:sz w:val="18"/>
                <w:lang w:eastAsia="en-US"/>
              </w:rPr>
            </w:pPr>
            <w:r>
              <w:rPr>
                <w:color w:val="000000"/>
                <w:sz w:val="18"/>
                <w:lang w:eastAsia="en-US"/>
              </w:rPr>
              <w:t>Amount</w:t>
            </w:r>
          </w:p>
        </w:tc>
      </w:tr>
      <w:tr>
        <w:trPr>
          <w:trHeight w:val="274" w:hRule="atLeast"/>
        </w:trPr>
        <w:tc>
          <w:tcPr>
            <w:tcW w:w="6562" w:type="dxa"/>
            <w:tcBorders>
              <w:start w:val="single" w:sz="12" w:space="0" w:color="000000"/>
              <w:bottom w:val="single" w:sz="12" w:space="0" w:color="000000"/>
              <w:end w:val="single" w:sz="6" w:space="0" w:color="000000"/>
            </w:tcBorders>
          </w:tcPr>
          <w:p>
            <w:pPr>
              <w:pStyle w:val="Normal"/>
              <w:rPr>
                <w:color w:val="000000"/>
                <w:sz w:val="18"/>
                <w:lang w:eastAsia="en-US"/>
              </w:rPr>
            </w:pPr>
            <w:r>
              <w:rPr>
                <w:color w:val="000000"/>
                <w:sz w:val="18"/>
                <w:lang w:eastAsia="en-US"/>
              </w:rPr>
              <w:t>Chemical</w:t>
            </w:r>
          </w:p>
        </w:tc>
        <w:tc>
          <w:tcPr>
            <w:tcW w:w="1041" w:type="dxa"/>
            <w:tcBorders>
              <w:start w:val="single" w:sz="6" w:space="0" w:color="000000"/>
              <w:bottom w:val="single" w:sz="12" w:space="0" w:color="000000"/>
              <w:end w:val="single" w:sz="6" w:space="0" w:color="000000"/>
            </w:tcBorders>
          </w:tcPr>
          <w:p>
            <w:pPr>
              <w:pStyle w:val="Normal"/>
              <w:jc w:val="end"/>
              <w:rPr>
                <w:color w:val="000000"/>
                <w:sz w:val="18"/>
                <w:lang w:eastAsia="en-US"/>
              </w:rPr>
            </w:pPr>
            <w:r>
              <w:rPr>
                <w:color w:val="000000"/>
                <w:sz w:val="18"/>
                <w:lang w:eastAsia="en-US"/>
              </w:rPr>
              <w:t>On Site</w:t>
            </w:r>
          </w:p>
        </w:tc>
        <w:tc>
          <w:tcPr>
            <w:tcW w:w="1056" w:type="dxa"/>
            <w:tcBorders>
              <w:start w:val="single" w:sz="6" w:space="0" w:color="000000"/>
              <w:bottom w:val="single" w:sz="12" w:space="0" w:color="000000"/>
              <w:end w:val="single" w:sz="12" w:space="0" w:color="000000"/>
            </w:tcBorders>
          </w:tcPr>
          <w:p>
            <w:pPr>
              <w:pStyle w:val="Normal"/>
              <w:jc w:val="end"/>
              <w:rPr>
                <w:color w:val="000000"/>
                <w:sz w:val="18"/>
                <w:lang w:eastAsia="en-US"/>
              </w:rPr>
            </w:pPr>
            <w:r>
              <w:rPr>
                <w:color w:val="000000"/>
                <w:sz w:val="18"/>
                <w:lang w:eastAsia="en-US"/>
              </w:rPr>
              <w:t>On Site</w:t>
            </w:r>
          </w:p>
        </w:tc>
      </w:tr>
      <w:tr>
        <w:trPr>
          <w:trHeight w:val="262" w:hRule="atLeast"/>
        </w:trPr>
        <w:tc>
          <w:tcPr>
            <w:tcW w:w="6562" w:type="dxa"/>
            <w:tcBorders>
              <w:top w:val="single" w:sz="12" w:space="0" w:color="000000"/>
              <w:start w:val="single" w:sz="12" w:space="0" w:color="000000"/>
              <w:bottom w:val="single" w:sz="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c>
          <w:tcPr>
            <w:tcW w:w="1041" w:type="dxa"/>
            <w:tcBorders>
              <w:top w:val="single" w:sz="12" w:space="0" w:color="000000"/>
              <w:start w:val="single" w:sz="6" w:space="0" w:color="000000"/>
              <w:bottom w:val="single" w:sz="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c>
          <w:tcPr>
            <w:tcW w:w="1056" w:type="dxa"/>
            <w:tcBorders>
              <w:top w:val="single" w:sz="12" w:space="0" w:color="000000"/>
              <w:start w:val="single" w:sz="6" w:space="0" w:color="000000"/>
              <w:bottom w:val="single" w:sz="2" w:space="0" w:color="000000"/>
              <w:end w:val="single" w:sz="12" w:space="0" w:color="000000"/>
            </w:tcBorders>
          </w:tcPr>
          <w:p>
            <w:pPr>
              <w:pStyle w:val="Normal"/>
              <w:snapToGrid w:val="false"/>
              <w:jc w:val="end"/>
              <w:rPr>
                <w:color w:val="000000"/>
                <w:sz w:val="18"/>
                <w:lang w:eastAsia="en-US"/>
              </w:rPr>
            </w:pPr>
            <w:r>
              <w:rPr>
                <w:color w:val="000000"/>
                <w:sz w:val="18"/>
                <w:lang w:eastAsia="en-US"/>
              </w:rPr>
            </w:r>
          </w:p>
        </w:tc>
      </w:tr>
      <w:tr>
        <w:trPr>
          <w:trHeight w:val="262" w:hRule="atLeast"/>
        </w:trPr>
        <w:tc>
          <w:tcPr>
            <w:tcW w:w="6562" w:type="dxa"/>
            <w:tcBorders>
              <w:top w:val="single" w:sz="2" w:space="0" w:color="000000"/>
              <w:start w:val="single" w:sz="12"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Preconverter Catalyst - 20-30% Ni, 30-35% NiO, balance ceramic substrate</w:t>
            </w:r>
          </w:p>
        </w:tc>
        <w:tc>
          <w:tcPr>
            <w:tcW w:w="1041" w:type="dxa"/>
            <w:tcBorders>
              <w:top w:val="single" w:sz="2" w:space="0" w:color="000000"/>
              <w:start w:val="single" w:sz="6" w:space="0" w:color="000000"/>
              <w:bottom w:val="single" w:sz="2" w:space="0" w:color="000000"/>
              <w:end w:val="single" w:sz="6" w:space="0" w:color="000000"/>
            </w:tcBorders>
          </w:tcPr>
          <w:p>
            <w:pPr>
              <w:pStyle w:val="Normal"/>
              <w:jc w:val="end"/>
              <w:rPr>
                <w:color w:val="000000"/>
                <w:sz w:val="18"/>
                <w:lang w:eastAsia="en-US"/>
              </w:rPr>
            </w:pPr>
            <w:r>
              <w:rPr>
                <w:color w:val="000000"/>
                <w:sz w:val="18"/>
                <w:lang w:eastAsia="en-US"/>
              </w:rPr>
              <w:t>250 lbs</w:t>
            </w:r>
          </w:p>
        </w:tc>
        <w:tc>
          <w:tcPr>
            <w:tcW w:w="1056" w:type="dxa"/>
            <w:tcBorders>
              <w:top w:val="single" w:sz="2" w:space="0" w:color="000000"/>
              <w:start w:val="single" w:sz="6" w:space="0" w:color="000000"/>
              <w:bottom w:val="single" w:sz="2" w:space="0" w:color="000000"/>
              <w:end w:val="single" w:sz="12" w:space="0" w:color="000000"/>
            </w:tcBorders>
          </w:tcPr>
          <w:p>
            <w:pPr>
              <w:pStyle w:val="Normal"/>
              <w:jc w:val="end"/>
              <w:rPr>
                <w:color w:val="000000"/>
                <w:sz w:val="18"/>
                <w:lang w:eastAsia="en-US"/>
              </w:rPr>
            </w:pPr>
            <w:r>
              <w:rPr>
                <w:color w:val="000000"/>
                <w:sz w:val="18"/>
                <w:lang w:eastAsia="en-US"/>
              </w:rPr>
              <w:t>500 lbs</w:t>
            </w:r>
          </w:p>
        </w:tc>
      </w:tr>
      <w:tr>
        <w:trPr>
          <w:trHeight w:val="262" w:hRule="atLeast"/>
        </w:trPr>
        <w:tc>
          <w:tcPr>
            <w:tcW w:w="6562" w:type="dxa"/>
            <w:tcBorders>
              <w:top w:val="single" w:sz="2" w:space="0" w:color="000000"/>
              <w:start w:val="single" w:sz="12"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Sulfur Sorbent -  Activated Carbon, may contain up to 25% CuO or KOH</w:t>
            </w:r>
          </w:p>
        </w:tc>
        <w:tc>
          <w:tcPr>
            <w:tcW w:w="1041" w:type="dxa"/>
            <w:tcBorders>
              <w:top w:val="single" w:sz="2" w:space="0" w:color="000000"/>
              <w:start w:val="single" w:sz="6" w:space="0" w:color="000000"/>
              <w:bottom w:val="single" w:sz="2" w:space="0" w:color="000000"/>
              <w:end w:val="single" w:sz="6" w:space="0" w:color="000000"/>
            </w:tcBorders>
          </w:tcPr>
          <w:p>
            <w:pPr>
              <w:pStyle w:val="Normal"/>
              <w:jc w:val="end"/>
              <w:rPr>
                <w:color w:val="000000"/>
                <w:sz w:val="18"/>
                <w:lang w:eastAsia="en-US"/>
              </w:rPr>
            </w:pPr>
            <w:r>
              <w:rPr>
                <w:color w:val="000000"/>
                <w:sz w:val="18"/>
                <w:lang w:eastAsia="en-US"/>
              </w:rPr>
              <w:t>4000 lbs</w:t>
            </w:r>
          </w:p>
        </w:tc>
        <w:tc>
          <w:tcPr>
            <w:tcW w:w="1056" w:type="dxa"/>
            <w:tcBorders>
              <w:top w:val="single" w:sz="2" w:space="0" w:color="000000"/>
              <w:start w:val="single" w:sz="6" w:space="0" w:color="000000"/>
              <w:bottom w:val="single" w:sz="2" w:space="0" w:color="000000"/>
              <w:end w:val="single" w:sz="12" w:space="0" w:color="000000"/>
            </w:tcBorders>
          </w:tcPr>
          <w:p>
            <w:pPr>
              <w:pStyle w:val="Normal"/>
              <w:jc w:val="end"/>
              <w:rPr>
                <w:color w:val="000000"/>
                <w:sz w:val="18"/>
                <w:lang w:eastAsia="en-US"/>
              </w:rPr>
            </w:pPr>
            <w:r>
              <w:rPr>
                <w:color w:val="000000"/>
                <w:sz w:val="18"/>
                <w:lang w:eastAsia="en-US"/>
              </w:rPr>
              <w:t>8000 lbs</w:t>
            </w:r>
          </w:p>
        </w:tc>
      </w:tr>
      <w:tr>
        <w:trPr>
          <w:trHeight w:val="262" w:hRule="atLeast"/>
        </w:trPr>
        <w:tc>
          <w:tcPr>
            <w:tcW w:w="6562" w:type="dxa"/>
            <w:tcBorders>
              <w:top w:val="single" w:sz="2" w:space="0" w:color="000000"/>
              <w:start w:val="single" w:sz="12"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Lubricating Oils</w:t>
            </w:r>
          </w:p>
        </w:tc>
        <w:tc>
          <w:tcPr>
            <w:tcW w:w="1041" w:type="dxa"/>
            <w:tcBorders>
              <w:top w:val="single" w:sz="2" w:space="0" w:color="000000"/>
              <w:start w:val="single" w:sz="6" w:space="0" w:color="000000"/>
              <w:bottom w:val="single" w:sz="2" w:space="0" w:color="000000"/>
              <w:end w:val="single" w:sz="6" w:space="0" w:color="000000"/>
            </w:tcBorders>
          </w:tcPr>
          <w:p>
            <w:pPr>
              <w:pStyle w:val="Normal"/>
              <w:jc w:val="end"/>
              <w:rPr>
                <w:color w:val="000000"/>
                <w:sz w:val="18"/>
                <w:lang w:eastAsia="en-US"/>
              </w:rPr>
            </w:pPr>
            <w:r>
              <w:rPr>
                <w:color w:val="000000"/>
                <w:sz w:val="18"/>
                <w:lang w:eastAsia="en-US"/>
              </w:rPr>
              <w:t>5 gallons</w:t>
            </w:r>
          </w:p>
        </w:tc>
        <w:tc>
          <w:tcPr>
            <w:tcW w:w="1056" w:type="dxa"/>
            <w:tcBorders>
              <w:top w:val="single" w:sz="2" w:space="0" w:color="000000"/>
              <w:start w:val="single" w:sz="6" w:space="0" w:color="000000"/>
              <w:bottom w:val="single" w:sz="2" w:space="0" w:color="000000"/>
              <w:end w:val="single" w:sz="12" w:space="0" w:color="000000"/>
            </w:tcBorders>
          </w:tcPr>
          <w:p>
            <w:pPr>
              <w:pStyle w:val="Normal"/>
              <w:jc w:val="end"/>
              <w:rPr>
                <w:color w:val="000000"/>
                <w:sz w:val="18"/>
                <w:lang w:eastAsia="en-US"/>
              </w:rPr>
            </w:pPr>
            <w:r>
              <w:rPr>
                <w:color w:val="000000"/>
                <w:sz w:val="18"/>
                <w:lang w:eastAsia="en-US"/>
              </w:rPr>
              <w:t>10 gallons</w:t>
            </w:r>
          </w:p>
        </w:tc>
      </w:tr>
      <w:tr>
        <w:trPr>
          <w:trHeight w:val="262" w:hRule="atLeast"/>
        </w:trPr>
        <w:tc>
          <w:tcPr>
            <w:tcW w:w="6562" w:type="dxa"/>
            <w:tcBorders>
              <w:top w:val="single" w:sz="2" w:space="0" w:color="000000"/>
              <w:start w:val="single" w:sz="12" w:space="0" w:color="000000"/>
              <w:bottom w:val="single" w:sz="2" w:space="0" w:color="000000"/>
              <w:end w:val="single" w:sz="6" w:space="0" w:color="000000"/>
            </w:tcBorders>
          </w:tcPr>
          <w:p>
            <w:pPr>
              <w:pStyle w:val="Normal"/>
              <w:rPr>
                <w:color w:val="000000"/>
                <w:sz w:val="18"/>
                <w:lang w:eastAsia="en-US"/>
              </w:rPr>
            </w:pPr>
            <w:r>
              <w:rPr>
                <w:color w:val="000000"/>
                <w:sz w:val="18"/>
                <w:lang w:eastAsia="en-US"/>
              </w:rPr>
              <w:t>Misc. Cleaning Chemicals</w:t>
            </w:r>
          </w:p>
        </w:tc>
        <w:tc>
          <w:tcPr>
            <w:tcW w:w="1041" w:type="dxa"/>
            <w:tcBorders>
              <w:top w:val="single" w:sz="2" w:space="0" w:color="000000"/>
              <w:start w:val="single" w:sz="6" w:space="0" w:color="000000"/>
              <w:bottom w:val="single" w:sz="2" w:space="0" w:color="000000"/>
              <w:end w:val="single" w:sz="6" w:space="0" w:color="000000"/>
            </w:tcBorders>
          </w:tcPr>
          <w:p>
            <w:pPr>
              <w:pStyle w:val="Normal"/>
              <w:jc w:val="end"/>
              <w:rPr>
                <w:color w:val="000000"/>
                <w:sz w:val="18"/>
                <w:lang w:eastAsia="en-US"/>
              </w:rPr>
            </w:pPr>
            <w:r>
              <w:rPr>
                <w:color w:val="000000"/>
                <w:sz w:val="18"/>
                <w:lang w:eastAsia="en-US"/>
              </w:rPr>
              <w:t>5 gallons</w:t>
            </w:r>
          </w:p>
        </w:tc>
        <w:tc>
          <w:tcPr>
            <w:tcW w:w="1056" w:type="dxa"/>
            <w:tcBorders>
              <w:top w:val="single" w:sz="2" w:space="0" w:color="000000"/>
              <w:start w:val="single" w:sz="6" w:space="0" w:color="000000"/>
              <w:bottom w:val="single" w:sz="2" w:space="0" w:color="000000"/>
              <w:end w:val="single" w:sz="12" w:space="0" w:color="000000"/>
            </w:tcBorders>
          </w:tcPr>
          <w:p>
            <w:pPr>
              <w:pStyle w:val="Normal"/>
              <w:jc w:val="end"/>
              <w:rPr>
                <w:color w:val="000000"/>
                <w:sz w:val="18"/>
                <w:lang w:eastAsia="en-US"/>
              </w:rPr>
            </w:pPr>
            <w:r>
              <w:rPr>
                <w:color w:val="000000"/>
                <w:sz w:val="18"/>
                <w:lang w:eastAsia="en-US"/>
              </w:rPr>
              <w:t>10 gallons</w:t>
            </w:r>
          </w:p>
        </w:tc>
      </w:tr>
      <w:tr>
        <w:trPr>
          <w:trHeight w:val="274" w:hRule="atLeast"/>
        </w:trPr>
        <w:tc>
          <w:tcPr>
            <w:tcW w:w="6562" w:type="dxa"/>
            <w:tcBorders>
              <w:top w:val="single" w:sz="2" w:space="0" w:color="000000"/>
              <w:start w:val="single" w:sz="12" w:space="0" w:color="000000"/>
              <w:bottom w:val="single" w:sz="1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c>
          <w:tcPr>
            <w:tcW w:w="1041" w:type="dxa"/>
            <w:tcBorders>
              <w:top w:val="single" w:sz="2" w:space="0" w:color="000000"/>
              <w:start w:val="single" w:sz="6" w:space="0" w:color="000000"/>
              <w:bottom w:val="single" w:sz="12" w:space="0" w:color="000000"/>
              <w:end w:val="single" w:sz="6" w:space="0" w:color="000000"/>
            </w:tcBorders>
          </w:tcPr>
          <w:p>
            <w:pPr>
              <w:pStyle w:val="Normal"/>
              <w:snapToGrid w:val="false"/>
              <w:jc w:val="end"/>
              <w:rPr>
                <w:color w:val="000000"/>
                <w:sz w:val="18"/>
                <w:lang w:eastAsia="en-US"/>
              </w:rPr>
            </w:pPr>
            <w:r>
              <w:rPr>
                <w:color w:val="000000"/>
                <w:sz w:val="18"/>
                <w:lang w:eastAsia="en-US"/>
              </w:rPr>
            </w:r>
          </w:p>
        </w:tc>
        <w:tc>
          <w:tcPr>
            <w:tcW w:w="1056" w:type="dxa"/>
            <w:tcBorders>
              <w:top w:val="single" w:sz="2" w:space="0" w:color="000000"/>
              <w:start w:val="single" w:sz="6" w:space="0" w:color="000000"/>
              <w:bottom w:val="single" w:sz="12" w:space="0" w:color="000000"/>
              <w:end w:val="single" w:sz="12" w:space="0" w:color="000000"/>
            </w:tcBorders>
          </w:tcPr>
          <w:p>
            <w:pPr>
              <w:pStyle w:val="Normal"/>
              <w:snapToGrid w:val="false"/>
              <w:jc w:val="end"/>
              <w:rPr>
                <w:color w:val="000000"/>
                <w:sz w:val="18"/>
                <w:lang w:eastAsia="en-US"/>
              </w:rPr>
            </w:pPr>
            <w:r>
              <w:rPr>
                <w:color w:val="000000"/>
                <w:sz w:val="18"/>
                <w:lang w:eastAsia="en-US"/>
              </w:rPr>
            </w:r>
          </w:p>
        </w:tc>
      </w:tr>
    </w:tbl>
    <w:p>
      <w:pPr>
        <w:pStyle w:val="Normal"/>
        <w:rPr/>
      </w:pPr>
      <w:r>
        <w:rPr/>
      </w:r>
    </w:p>
    <w:p>
      <w:pPr>
        <w:pStyle w:val="Normal"/>
        <w:rPr/>
      </w:pPr>
      <w:r>
        <w:rPr/>
      </w:r>
    </w:p>
    <w:p>
      <w:pPr>
        <w:pStyle w:val="Normal"/>
        <w:rPr>
          <w:b/>
        </w:rPr>
      </w:pPr>
      <w:r>
        <w:rPr>
          <w:b/>
        </w:rPr>
        <w:t>C.3</w:t>
        <w:tab/>
        <w:t>Type and location of required gas and liquid connections to unit at site</w:t>
      </w:r>
    </w:p>
    <w:p>
      <w:pPr>
        <w:pStyle w:val="Normal"/>
        <w:rPr/>
      </w:pPr>
      <w:r>
        <w:rPr/>
        <w:t>See drawing, “Purchaser/Seller Interconnection Summary”.</w:t>
      </w:r>
    </w:p>
    <w:p>
      <w:pPr>
        <w:pStyle w:val="Normal"/>
        <w:rPr/>
      </w:pPr>
      <w:r>
        <w:rPr/>
      </w:r>
    </w:p>
    <w:p>
      <w:pPr>
        <w:pStyle w:val="Normal"/>
        <w:rPr/>
      </w:pPr>
      <w:r>
        <w:rPr/>
      </w:r>
    </w:p>
    <w:p>
      <w:pPr>
        <w:pStyle w:val="Normal"/>
        <w:rPr>
          <w:b/>
        </w:rPr>
      </w:pPr>
      <w:r>
        <w:rPr>
          <w:b/>
        </w:rPr>
        <w:t>C.4</w:t>
        <w:tab/>
        <w:t>Basis Conditions and Performance Correction Factors</w:t>
      </w:r>
    </w:p>
    <w:p>
      <w:pPr>
        <w:pStyle w:val="Normal"/>
        <w:rPr/>
      </w:pPr>
      <w:r>
        <w:rPr/>
        <w:t>The basis conditions, which the powerplant price and performance guarantees are based upon, are as follows:</w:t>
      </w:r>
    </w:p>
    <w:p>
      <w:pPr>
        <w:pStyle w:val="Normal"/>
        <w:rPr/>
      </w:pPr>
      <w:r>
        <w:rPr/>
      </w:r>
    </w:p>
    <w:p>
      <w:pPr>
        <w:pStyle w:val="Normal"/>
        <w:rPr>
          <w:u w:val="single"/>
        </w:rPr>
      </w:pPr>
      <w:r>
        <w:rPr>
          <w:u w:val="single"/>
        </w:rPr>
        <w:t>General Site Conditions</w:t>
      </w:r>
    </w:p>
    <w:p>
      <w:pPr>
        <w:pStyle w:val="Normal"/>
        <w:numPr>
          <w:ilvl w:val="0"/>
          <w:numId w:val="1"/>
        </w:numPr>
        <w:jc w:val="both"/>
        <w:rPr/>
      </w:pPr>
      <w:r>
        <w:rPr/>
        <w:t xml:space="preserve">The site is clear and level, free of hazardous materials, and graded to ensure drainage of surface water.  </w:t>
      </w:r>
    </w:p>
    <w:p>
      <w:pPr>
        <w:pStyle w:val="Normal"/>
        <w:numPr>
          <w:ilvl w:val="0"/>
          <w:numId w:val="1"/>
        </w:numPr>
        <w:jc w:val="both"/>
        <w:rPr/>
      </w:pPr>
      <w:r>
        <w:rPr/>
        <w:t>The site soils are capable of a bearing pressure of 4000 pounds/square foot (PSF).</w:t>
      </w:r>
    </w:p>
    <w:p>
      <w:pPr>
        <w:pStyle w:val="Normal"/>
        <w:numPr>
          <w:ilvl w:val="0"/>
          <w:numId w:val="1"/>
        </w:numPr>
        <w:jc w:val="both"/>
        <w:rPr/>
      </w:pPr>
      <w:r>
        <w:rPr/>
        <w:t>All-weather road access at the front of the site is available.  The road will have sufficient load bearing capacity for the heaviest single equipment skid (120,000 lb), plus its transport and/or crane.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pPr>
      <w:r>
        <w:rPr/>
        <w:t>Specific Site Conditions are as shown in the following table:</w:t>
      </w:r>
    </w:p>
    <w:p>
      <w:pPr>
        <w:pStyle w:val="Normal"/>
        <w:jc w:val="center"/>
        <w:rPr>
          <w:color w:val="000000"/>
          <w:sz w:val="20"/>
        </w:rPr>
      </w:pPr>
      <w:r>
        <w:rPr/>
        <w:t>Table C.2  Site Basis Conditions</w:t>
      </w:r>
    </w:p>
    <w:tbl>
      <w:tblPr>
        <w:tblW w:w="9270" w:type="dxa"/>
        <w:jc w:val="start"/>
        <w:tblInd w:w="198" w:type="dxa"/>
        <w:tblLayout w:type="fixed"/>
        <w:tblCellMar>
          <w:top w:w="0" w:type="dxa"/>
          <w:start w:w="108" w:type="dxa"/>
          <w:bottom w:w="0" w:type="dxa"/>
          <w:end w:w="108" w:type="dxa"/>
        </w:tblCellMar>
      </w:tblPr>
      <w:tblGrid>
        <w:gridCol w:w="5130"/>
        <w:gridCol w:w="2340"/>
        <w:gridCol w:w="1800"/>
      </w:tblGrid>
      <w:tr>
        <w:trPr/>
        <w:tc>
          <w:tcPr>
            <w:tcW w:w="513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0"/>
              </w:rPr>
            </w:pPr>
            <w:r>
              <w:rPr>
                <w:color w:val="000000"/>
                <w:sz w:val="20"/>
              </w:rPr>
              <w:t>CATEGORY</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rPr>
            </w:pPr>
            <w:r>
              <w:rPr>
                <w:color w:val="000000"/>
                <w:sz w:val="20"/>
              </w:rPr>
              <w:t>DESIGN CONDITIONS</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pPr>
            <w:r>
              <w:rPr>
                <w:color w:val="000000"/>
                <w:sz w:val="20"/>
              </w:rPr>
              <w:t>PERFORMANCE POINT</w:t>
            </w:r>
            <w:r>
              <w:rPr>
                <w:color w:val="000000"/>
                <w:sz w:val="20"/>
                <w:vertAlign w:val="superscript"/>
              </w:rPr>
              <w:t>(2)</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vertAlign w:val="superscript"/>
              </w:rPr>
            </w:pPr>
            <w:r>
              <w:rPr>
                <w:color w:val="000000"/>
                <w:sz w:val="20"/>
                <w:vertAlign w:val="superscript"/>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0"/>
              </w:rPr>
            </w:pPr>
            <w:r>
              <w:rPr>
                <w:color w:val="000000"/>
                <w:sz w:val="20"/>
              </w:rPr>
              <w:t>Elevation above Sea Level</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rPr>
            </w:pPr>
            <w:r>
              <w:rPr>
                <w:color w:val="000000"/>
                <w:sz w:val="20"/>
              </w:rPr>
              <w:t>0 to 2500 ft</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rPr>
            </w:pPr>
            <w:r>
              <w:rPr>
                <w:color w:val="000000"/>
                <w:sz w:val="20"/>
              </w:rPr>
              <w:t>0 ft</w:t>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0"/>
              </w:rPr>
            </w:pPr>
            <w:r>
              <w:rPr>
                <w:color w:val="000000"/>
                <w:sz w:val="20"/>
              </w:rPr>
              <w:t>Ambient Temperature</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rPr>
            </w:pPr>
            <w:r>
              <w:rPr>
                <w:color w:val="000000"/>
                <w:sz w:val="20"/>
              </w:rPr>
              <w:t>-20 to 104 F</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rPr>
            </w:pPr>
            <w:r>
              <w:rPr>
                <w:color w:val="000000"/>
                <w:sz w:val="20"/>
              </w:rPr>
              <w:t>59 F</w:t>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0"/>
              </w:rPr>
            </w:pPr>
            <w:r>
              <w:rPr>
                <w:color w:val="000000"/>
                <w:sz w:val="20"/>
              </w:rPr>
              <w:t>Relative Humidity</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rPr>
            </w:pPr>
            <w:r>
              <w:rPr>
                <w:color w:val="000000"/>
                <w:sz w:val="20"/>
              </w:rPr>
              <w:t>0 to 100 %</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rPr>
            </w:pPr>
            <w:r>
              <w:rPr>
                <w:color w:val="000000"/>
                <w:sz w:val="20"/>
              </w:rPr>
              <w:t>60 %</w:t>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0"/>
              </w:rPr>
            </w:pPr>
            <w:r>
              <w:rPr>
                <w:color w:val="000000"/>
                <w:sz w:val="20"/>
              </w:rPr>
              <w:t>Wind Loading @ 33 ft</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rPr>
            </w:pPr>
            <w:r>
              <w:rPr>
                <w:color w:val="000000"/>
                <w:sz w:val="20"/>
              </w:rPr>
              <w:t xml:space="preserve">24 PSF </w:t>
            </w:r>
            <w:r>
              <w:rPr>
                <w:color w:val="000000"/>
                <w:sz w:val="20"/>
                <w:vertAlign w:val="superscript"/>
              </w:rPr>
              <w:t>(3)</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0"/>
              </w:rPr>
            </w:pPr>
            <w:r>
              <w:rPr>
                <w:color w:val="000000"/>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0"/>
              </w:rPr>
            </w:pPr>
            <w:r>
              <w:rPr>
                <w:color w:val="000000"/>
                <w:sz w:val="20"/>
              </w:rPr>
              <w:t>Snow Load</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rPr>
            </w:pPr>
            <w:r>
              <w:rPr>
                <w:color w:val="000000"/>
                <w:sz w:val="20"/>
              </w:rPr>
              <w:t xml:space="preserve">30 PSF </w:t>
            </w:r>
            <w:r>
              <w:rPr>
                <w:color w:val="000000"/>
                <w:sz w:val="20"/>
                <w:vertAlign w:val="superscript"/>
              </w:rPr>
              <w:t>(4)</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0"/>
              </w:rPr>
            </w:pPr>
            <w:r>
              <w:rPr>
                <w:color w:val="000000"/>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0"/>
              </w:rPr>
            </w:pPr>
            <w:r>
              <w:rPr>
                <w:color w:val="000000"/>
                <w:sz w:val="20"/>
              </w:rPr>
              <w:t>Precipitation</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rPr>
            </w:pPr>
            <w:r>
              <w:rPr>
                <w:color w:val="000000"/>
                <w:sz w:val="20"/>
              </w:rPr>
              <w:t>2.5 inches/hour</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0"/>
              </w:rPr>
            </w:pPr>
            <w:r>
              <w:rPr>
                <w:color w:val="000000"/>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0"/>
              </w:rPr>
            </w:pPr>
            <w:r>
              <w:rPr>
                <w:color w:val="000000"/>
                <w:sz w:val="20"/>
              </w:rPr>
              <w:t>Seismic</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rPr>
            </w:pPr>
            <w:r>
              <w:rPr>
                <w:color w:val="000000"/>
                <w:sz w:val="20"/>
              </w:rPr>
              <w:t>UBC Zone 2</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0"/>
              </w:rPr>
            </w:pPr>
            <w:r>
              <w:rPr>
                <w:color w:val="000000"/>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0"/>
              </w:rPr>
            </w:pPr>
            <w:r>
              <w:rPr>
                <w:color w:val="000000"/>
                <w:sz w:val="20"/>
              </w:rPr>
              <w:t>Ambient Dust Loading, Ave./yr</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rPr>
            </w:pPr>
            <w:r>
              <w:rPr>
                <w:color w:val="000000"/>
                <w:sz w:val="20"/>
              </w:rPr>
              <w:t>27 micro-gram/m</w:t>
            </w:r>
            <w:r>
              <w:rPr>
                <w:color w:val="000000"/>
                <w:sz w:val="20"/>
                <w:vertAlign w:val="superscript"/>
              </w:rPr>
              <w:t>3</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0"/>
              </w:rPr>
            </w:pPr>
            <w:r>
              <w:rPr>
                <w:color w:val="000000"/>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0"/>
              </w:rPr>
            </w:pPr>
            <w:r>
              <w:rPr>
                <w:color w:val="000000"/>
                <w:sz w:val="20"/>
              </w:rPr>
              <w:t>Ambient Gaseous Halide Concentration, Ave./yr</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rPr>
            </w:pPr>
            <w:r>
              <w:rPr>
                <w:color w:val="000000"/>
                <w:sz w:val="20"/>
              </w:rPr>
              <w:t>20 ppbw</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0"/>
              </w:rPr>
            </w:pPr>
            <w:r>
              <w:rPr>
                <w:color w:val="000000"/>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0"/>
              </w:rPr>
            </w:pPr>
            <w:r>
              <w:rPr>
                <w:color w:val="000000"/>
                <w:sz w:val="20"/>
              </w:rPr>
              <w:t>Ambient Gaseous Sulfur Dioxide Concentration in Air</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0"/>
              </w:rPr>
            </w:pPr>
            <w:r>
              <w:rPr>
                <w:color w:val="000000"/>
                <w:sz w:val="20"/>
              </w:rPr>
              <w:t>&lt; 10 ppb</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0"/>
              </w:rPr>
            </w:pPr>
            <w:r>
              <w:rPr>
                <w:color w:val="000000"/>
                <w:sz w:val="20"/>
              </w:rPr>
            </w:r>
          </w:p>
        </w:tc>
      </w:tr>
    </w:tbl>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16"/>
        </w:rPr>
      </w:pPr>
      <w:r>
        <w:rPr>
          <w:color w:val="000000"/>
          <w:sz w:val="16"/>
        </w:rPr>
        <w:tab/>
        <w:t>Notes:</w:t>
      </w:r>
    </w:p>
    <w:p>
      <w:pPr>
        <w:pStyle w:val="Normal"/>
        <w:widowControl w:val="false"/>
        <w:tabs>
          <w:tab w:val="clear" w:pos="720"/>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s>
        <w:spacing w:lineRule="exact" w:line="240"/>
        <w:ind w:hanging="432" w:start="1296" w:end="0"/>
        <w:rPr>
          <w:color w:val="000000"/>
          <w:sz w:val="16"/>
        </w:rPr>
      </w:pPr>
      <w:r>
        <w:rPr>
          <w:color w:val="000000"/>
          <w:sz w:val="16"/>
        </w:rPr>
        <w:t>(1)</w:t>
        <w:tab/>
        <w:t>Highway access is required.  Rail siding is not required.</w:t>
      </w:r>
    </w:p>
    <w:p>
      <w:pPr>
        <w:pStyle w:val="Normal"/>
        <w:widowControl w:val="false"/>
        <w:tabs>
          <w:tab w:val="clear" w:pos="720"/>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s>
        <w:spacing w:lineRule="exact" w:line="240"/>
        <w:ind w:hanging="432" w:start="1296" w:end="0"/>
        <w:rPr>
          <w:color w:val="000000"/>
          <w:sz w:val="16"/>
        </w:rPr>
      </w:pPr>
      <w:r>
        <w:rPr>
          <w:color w:val="000000"/>
          <w:sz w:val="16"/>
        </w:rPr>
        <w:t>(2)   Basis for powerplant performance calculations.</w:t>
      </w:r>
    </w:p>
    <w:p>
      <w:pPr>
        <w:pStyle w:val="Normal"/>
        <w:widowControl w:val="false"/>
        <w:tabs>
          <w:tab w:val="clear" w:pos="720"/>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s>
        <w:spacing w:lineRule="exact" w:line="240"/>
        <w:ind w:hanging="432" w:start="1296" w:end="0"/>
        <w:rPr>
          <w:color w:val="000000"/>
          <w:sz w:val="16"/>
        </w:rPr>
      </w:pPr>
      <w:r>
        <w:rPr>
          <w:color w:val="000000"/>
          <w:sz w:val="16"/>
        </w:rPr>
        <w:t>(3)  This wind load of 30 PSF is based on a wind speed of less than 90 mph and Exposure C.  Exposure C is defined as “Open terrain with scattered obstructions having height generally less than 30 feet” (American Society of Civil Engineers standard ASCE 7-95).</w:t>
      </w:r>
    </w:p>
    <w:p>
      <w:pPr>
        <w:pStyle w:val="Normal"/>
        <w:widowControl w:val="false"/>
        <w:tabs>
          <w:tab w:val="clear" w:pos="720"/>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s>
        <w:spacing w:lineRule="exact" w:line="240"/>
        <w:ind w:hanging="432" w:start="1296" w:end="0"/>
        <w:rPr>
          <w:color w:val="000000"/>
          <w:sz w:val="22"/>
        </w:rPr>
      </w:pPr>
      <w:r>
        <w:rPr>
          <w:color w:val="000000"/>
          <w:sz w:val="16"/>
        </w:rPr>
        <w:t>(4)  This snow load is equivalent to a ground snow load of 40 PSF and a snow exposure factor of 0.7 per Uniform Building Code UBC-97.</w:t>
      </w:r>
    </w:p>
    <w:p>
      <w:pPr>
        <w:pStyle w:val="Normal"/>
        <w:jc w:val="both"/>
        <w:rPr>
          <w:color w:val="000000"/>
          <w:sz w:val="22"/>
        </w:rPr>
      </w:pPr>
      <w:r>
        <w:rPr>
          <w:color w:val="000000"/>
          <w:sz w:val="22"/>
        </w:rPr>
      </w:r>
    </w:p>
    <w:p>
      <w:pPr>
        <w:pStyle w:val="Normal"/>
        <w:jc w:val="both"/>
        <w:rPr>
          <w:u w:val="single"/>
        </w:rPr>
      </w:pPr>
      <w:r>
        <w:rPr>
          <w:u w:val="single"/>
        </w:rPr>
        <w:t>Fuel Composition</w:t>
      </w:r>
    </w:p>
    <w:p>
      <w:pPr>
        <w:pStyle w:val="Normal"/>
        <w:jc w:val="both"/>
        <w:rPr/>
      </w:pPr>
      <w:r>
        <w:rPr/>
        <w:t>Basis fuel composition range used for performance estimation is as follows:</w:t>
      </w:r>
    </w:p>
    <w:p>
      <w:pPr>
        <w:pStyle w:val="Normal"/>
        <w:jc w:val="center"/>
        <w:rPr/>
      </w:pPr>
      <w:r>
        <w:rPr/>
        <w:t>Table C.3 Fuel Composition Range</w:t>
      </w:r>
    </w:p>
    <w:tbl>
      <w:tblPr>
        <w:tblW w:w="7020" w:type="dxa"/>
        <w:jc w:val="start"/>
        <w:tblInd w:w="1170" w:type="dxa"/>
        <w:tblLayout w:type="fixed"/>
        <w:tblCellMar>
          <w:top w:w="0" w:type="dxa"/>
          <w:start w:w="0" w:type="dxa"/>
          <w:bottom w:w="0" w:type="dxa"/>
          <w:end w:w="0" w:type="dxa"/>
        </w:tblCellMar>
      </w:tblPr>
      <w:tblGrid>
        <w:gridCol w:w="4140"/>
        <w:gridCol w:w="2880"/>
      </w:tblGrid>
      <w:tr>
        <w:trPr/>
        <w:tc>
          <w:tcPr>
            <w:tcW w:w="41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PROPERTY</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RANGE</w:t>
            </w:r>
          </w:p>
        </w:tc>
      </w:tr>
      <w:tr>
        <w:trPr/>
        <w:tc>
          <w:tcPr>
            <w:tcW w:w="4140" w:type="dxa"/>
            <w:tcBorders>
              <w:start w:val="single" w:sz="4" w:space="0" w:color="000000"/>
              <w:bottom w:val="single" w:sz="4" w:space="0" w:color="000000"/>
              <w:end w:val="single" w:sz="4" w:space="0" w:color="000000"/>
            </w:tcBorders>
          </w:tcPr>
          <w:p>
            <w:pPr>
              <w:pStyle w:val="Normal"/>
              <w:widowControl w:val="false"/>
              <w:tabs>
                <w:tab w:val="left" w:pos="720" w:leader="none"/>
              </w:tabs>
              <w:rPr>
                <w:color w:val="000000"/>
                <w:sz w:val="20"/>
                <w:lang w:eastAsia="en-US"/>
              </w:rPr>
            </w:pPr>
            <w:r>
              <w:rPr>
                <w:color w:val="000000"/>
                <w:sz w:val="20"/>
                <w:u w:val="single"/>
                <w:lang w:eastAsia="en-US"/>
              </w:rPr>
              <w:t>Composition</w:t>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Methane, vol %</w:t>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Ethane, vol %</w:t>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Propane vol %</w:t>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Butanes, vol %</w:t>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Pentanes+, vol %</w:t>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Unsaturated Hydrocarbons</w:t>
            </w:r>
          </w:p>
          <w:p>
            <w:pPr>
              <w:pStyle w:val="Normal"/>
              <w:widowControl w:val="false"/>
              <w:tabs>
                <w:tab w:val="left" w:pos="720" w:leader="none"/>
              </w:tabs>
              <w:rPr>
                <w:color w:val="000000"/>
                <w:sz w:val="20"/>
                <w:lang w:eastAsia="en-US"/>
              </w:rPr>
            </w:pPr>
            <w:r>
              <w:rPr>
                <w:color w:val="000000"/>
                <w:sz w:val="20"/>
                <w:lang w:eastAsia="en-US"/>
              </w:rPr>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Inert Gases</w:t>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 Nitrogen, vol %</w:t>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 Carbon Dioxide, vol %</w:t>
            </w:r>
          </w:p>
          <w:p>
            <w:pPr>
              <w:pStyle w:val="Normal"/>
              <w:widowControl w:val="false"/>
              <w:tabs>
                <w:tab w:val="left" w:pos="720" w:leader="none"/>
              </w:tabs>
              <w:rPr>
                <w:color w:val="000000"/>
                <w:sz w:val="20"/>
                <w:lang w:eastAsia="en-US"/>
              </w:rPr>
            </w:pPr>
            <w:r>
              <w:rPr>
                <w:color w:val="000000"/>
                <w:sz w:val="20"/>
                <w:lang w:eastAsia="en-US"/>
              </w:rPr>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Oxygen, vol %</w:t>
            </w:r>
          </w:p>
        </w:tc>
        <w:tc>
          <w:tcPr>
            <w:tcW w:w="2880" w:type="dxa"/>
            <w:tcBorders>
              <w:end w:val="single" w:sz="4" w:space="0" w:color="000000"/>
            </w:tcBorders>
          </w:tcPr>
          <w:p>
            <w:pPr>
              <w:pStyle w:val="Normal"/>
              <w:widowControl w:val="false"/>
              <w:tabs>
                <w:tab w:val="left" w:pos="720" w:leader="none"/>
              </w:tabs>
              <w:snapToGrid w:val="false"/>
              <w:jc w:val="end"/>
              <w:rPr>
                <w:color w:val="000000"/>
                <w:sz w:val="20"/>
                <w:lang w:eastAsia="en-US"/>
              </w:rPr>
            </w:pPr>
            <w:r>
              <w:rPr>
                <w:color w:val="000000"/>
                <w:sz w:val="20"/>
                <w:lang w:eastAsia="en-US"/>
              </w:rPr>
            </w:r>
          </w:p>
          <w:p>
            <w:pPr>
              <w:pStyle w:val="Normal"/>
              <w:widowControl w:val="false"/>
              <w:tabs>
                <w:tab w:val="left" w:pos="720" w:leader="none"/>
              </w:tabs>
              <w:jc w:val="end"/>
              <w:rPr>
                <w:color w:val="000000"/>
                <w:sz w:val="20"/>
                <w:lang w:eastAsia="en-US"/>
              </w:rPr>
            </w:pPr>
            <w:r>
              <w:rPr>
                <w:color w:val="000000"/>
                <w:sz w:val="20"/>
                <w:lang w:eastAsia="en-US"/>
              </w:rPr>
              <w:t>80 - 100</w:t>
            </w:r>
          </w:p>
          <w:p>
            <w:pPr>
              <w:pStyle w:val="Normal"/>
              <w:widowControl w:val="false"/>
              <w:tabs>
                <w:tab w:val="left" w:pos="720" w:leader="none"/>
              </w:tabs>
              <w:jc w:val="end"/>
              <w:rPr>
                <w:color w:val="000000"/>
                <w:sz w:val="20"/>
                <w:lang w:eastAsia="en-US"/>
              </w:rPr>
            </w:pPr>
            <w:r>
              <w:rPr>
                <w:color w:val="000000"/>
                <w:sz w:val="20"/>
                <w:lang w:eastAsia="en-US"/>
              </w:rPr>
              <w:t>0 - 10</w:t>
            </w:r>
          </w:p>
          <w:p>
            <w:pPr>
              <w:pStyle w:val="Normal"/>
              <w:widowControl w:val="false"/>
              <w:tabs>
                <w:tab w:val="left" w:pos="720" w:leader="none"/>
              </w:tabs>
              <w:jc w:val="end"/>
              <w:rPr>
                <w:color w:val="000000"/>
                <w:sz w:val="20"/>
                <w:lang w:eastAsia="en-US"/>
              </w:rPr>
            </w:pPr>
            <w:r>
              <w:rPr>
                <w:color w:val="000000"/>
                <w:sz w:val="20"/>
                <w:lang w:eastAsia="en-US"/>
              </w:rPr>
              <w:t>0 - 3</w:t>
            </w:r>
          </w:p>
          <w:p>
            <w:pPr>
              <w:pStyle w:val="Normal"/>
              <w:widowControl w:val="false"/>
              <w:tabs>
                <w:tab w:val="left" w:pos="720" w:leader="none"/>
              </w:tabs>
              <w:jc w:val="end"/>
              <w:rPr>
                <w:color w:val="000000"/>
                <w:sz w:val="20"/>
                <w:lang w:eastAsia="en-US"/>
              </w:rPr>
            </w:pPr>
            <w:r>
              <w:rPr>
                <w:color w:val="000000"/>
                <w:sz w:val="20"/>
                <w:lang w:eastAsia="en-US"/>
              </w:rPr>
              <w:t>0 – 1.25</w:t>
            </w:r>
          </w:p>
          <w:p>
            <w:pPr>
              <w:pStyle w:val="Normal"/>
              <w:widowControl w:val="false"/>
              <w:tabs>
                <w:tab w:val="left" w:pos="720" w:leader="none"/>
              </w:tabs>
              <w:jc w:val="end"/>
              <w:rPr>
                <w:color w:val="000000"/>
                <w:sz w:val="20"/>
                <w:lang w:eastAsia="en-US"/>
              </w:rPr>
            </w:pPr>
            <w:r>
              <w:rPr>
                <w:color w:val="000000"/>
                <w:sz w:val="20"/>
                <w:lang w:eastAsia="en-US"/>
              </w:rPr>
              <w:t>0 - 0.5</w:t>
            </w:r>
          </w:p>
          <w:p>
            <w:pPr>
              <w:pStyle w:val="Normal"/>
              <w:widowControl w:val="false"/>
              <w:tabs>
                <w:tab w:val="left" w:pos="720" w:leader="none"/>
              </w:tabs>
              <w:jc w:val="end"/>
              <w:rPr>
                <w:color w:val="000000"/>
                <w:sz w:val="20"/>
                <w:lang w:eastAsia="en-US"/>
              </w:rPr>
            </w:pPr>
            <w:r>
              <w:rPr>
                <w:color w:val="000000"/>
                <w:sz w:val="20"/>
                <w:lang w:eastAsia="en-US"/>
              </w:rPr>
              <w:t>None</w:t>
            </w:r>
          </w:p>
          <w:p>
            <w:pPr>
              <w:pStyle w:val="Normal"/>
              <w:widowControl w:val="false"/>
              <w:tabs>
                <w:tab w:val="left" w:pos="720" w:leader="none"/>
              </w:tabs>
              <w:jc w:val="end"/>
              <w:rPr>
                <w:color w:val="000000"/>
                <w:sz w:val="20"/>
                <w:lang w:eastAsia="en-US"/>
              </w:rPr>
            </w:pPr>
            <w:r>
              <w:rPr>
                <w:color w:val="000000"/>
                <w:sz w:val="20"/>
                <w:lang w:eastAsia="en-US"/>
              </w:rPr>
            </w:r>
          </w:p>
          <w:p>
            <w:pPr>
              <w:pStyle w:val="Normal"/>
              <w:widowControl w:val="false"/>
              <w:tabs>
                <w:tab w:val="left" w:pos="720" w:leader="none"/>
              </w:tabs>
              <w:jc w:val="end"/>
              <w:rPr>
                <w:color w:val="000000"/>
                <w:sz w:val="20"/>
                <w:lang w:eastAsia="en-US"/>
              </w:rPr>
            </w:pPr>
            <w:r>
              <w:rPr>
                <w:color w:val="000000"/>
                <w:sz w:val="20"/>
                <w:lang w:eastAsia="en-US"/>
              </w:rPr>
              <w:t>0 - 5</w:t>
            </w:r>
          </w:p>
          <w:p>
            <w:pPr>
              <w:pStyle w:val="Normal"/>
              <w:widowControl w:val="false"/>
              <w:tabs>
                <w:tab w:val="left" w:pos="720" w:leader="none"/>
              </w:tabs>
              <w:jc w:val="end"/>
              <w:rPr>
                <w:color w:val="000000"/>
                <w:sz w:val="20"/>
                <w:lang w:eastAsia="en-US"/>
              </w:rPr>
            </w:pPr>
            <w:r>
              <w:rPr>
                <w:color w:val="000000"/>
                <w:sz w:val="20"/>
                <w:lang w:eastAsia="en-US"/>
              </w:rPr>
              <w:t>0 - 3</w:t>
            </w:r>
          </w:p>
          <w:p>
            <w:pPr>
              <w:pStyle w:val="Normal"/>
              <w:widowControl w:val="false"/>
              <w:tabs>
                <w:tab w:val="left" w:pos="720" w:leader="none"/>
              </w:tabs>
              <w:jc w:val="end"/>
              <w:rPr>
                <w:color w:val="000000"/>
                <w:sz w:val="20"/>
                <w:lang w:eastAsia="en-US"/>
              </w:rPr>
            </w:pPr>
            <w:r>
              <w:rPr>
                <w:color w:val="000000"/>
                <w:sz w:val="20"/>
                <w:lang w:eastAsia="en-US"/>
              </w:rPr>
              <w:t>0 – 3</w:t>
            </w:r>
          </w:p>
          <w:p>
            <w:pPr>
              <w:pStyle w:val="Normal"/>
              <w:widowControl w:val="false"/>
              <w:tabs>
                <w:tab w:val="left" w:pos="720" w:leader="none"/>
              </w:tabs>
              <w:jc w:val="end"/>
              <w:rPr>
                <w:color w:val="000000"/>
                <w:sz w:val="20"/>
                <w:lang w:eastAsia="en-US"/>
              </w:rPr>
            </w:pPr>
            <w:r>
              <w:rPr>
                <w:color w:val="000000"/>
                <w:sz w:val="20"/>
                <w:lang w:eastAsia="en-US"/>
              </w:rPr>
            </w:r>
          </w:p>
          <w:p>
            <w:pPr>
              <w:pStyle w:val="Normal"/>
              <w:widowControl w:val="false"/>
              <w:tabs>
                <w:tab w:val="left" w:pos="720" w:leader="none"/>
              </w:tabs>
              <w:jc w:val="end"/>
              <w:rPr>
                <w:color w:val="000000"/>
                <w:sz w:val="20"/>
                <w:lang w:eastAsia="en-US"/>
              </w:rPr>
            </w:pPr>
            <w:r>
              <w:rPr>
                <w:color w:val="000000"/>
                <w:sz w:val="20"/>
                <w:lang w:eastAsia="en-US"/>
              </w:rPr>
              <w:t>0</w:t>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0"/>
                <w:lang w:eastAsia="en-US"/>
              </w:rPr>
            </w:pPr>
            <w:r>
              <w:rPr>
                <w:color w:val="000000"/>
                <w:sz w:val="20"/>
                <w:u w:val="single"/>
                <w:lang w:eastAsia="en-US"/>
              </w:rPr>
              <w:t>Impurities</w:t>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Total Sulfur, ppmv</w:t>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grains/100 SCF</w:t>
            </w:r>
          </w:p>
          <w:p>
            <w:pPr>
              <w:pStyle w:val="Normal"/>
              <w:widowControl w:val="false"/>
              <w:tabs>
                <w:tab w:val="left" w:pos="720" w:leader="none"/>
              </w:tabs>
              <w:rPr/>
            </w:pPr>
            <w:r>
              <w:rPr>
                <w:rFonts w:eastAsia="Arial"/>
                <w:color w:val="000000"/>
                <w:sz w:val="20"/>
                <w:lang w:eastAsia="en-US"/>
              </w:rPr>
              <w:t xml:space="preserve">  </w:t>
            </w:r>
            <w:r>
              <w:rPr>
                <w:color w:val="000000"/>
                <w:sz w:val="20"/>
                <w:lang w:eastAsia="en-US"/>
              </w:rPr>
              <w:t>- H</w:t>
            </w:r>
            <w:r>
              <w:rPr>
                <w:color w:val="000000"/>
                <w:position w:val="-5"/>
                <w:sz w:val="20"/>
                <w:lang w:eastAsia="en-US"/>
              </w:rPr>
              <w:t>2</w:t>
            </w:r>
            <w:r>
              <w:rPr>
                <w:color w:val="000000"/>
                <w:sz w:val="20"/>
                <w:lang w:eastAsia="en-US"/>
              </w:rPr>
              <w:t>S, ppmv</w:t>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 COS, ppmv</w:t>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 Odorants, ppmv</w:t>
            </w:r>
          </w:p>
          <w:p>
            <w:pPr>
              <w:pStyle w:val="Normal"/>
              <w:widowControl w:val="false"/>
              <w:tabs>
                <w:tab w:val="left" w:pos="720" w:leader="none"/>
              </w:tabs>
              <w:rPr>
                <w:rFonts w:eastAsia="Arial"/>
                <w:color w:val="000000"/>
                <w:sz w:val="20"/>
                <w:lang w:eastAsia="en-US"/>
              </w:rPr>
            </w:pPr>
            <w:r>
              <w:rPr>
                <w:rFonts w:eastAsia="Arial"/>
                <w:color w:val="000000"/>
                <w:sz w:val="20"/>
                <w:lang w:eastAsia="en-US"/>
              </w:rPr>
              <w:t xml:space="preserve"> </w:t>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Halogens (Cl, etc)</w:t>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Dust/Gum/Solid Matter</w:t>
            </w:r>
          </w:p>
          <w:p>
            <w:pPr>
              <w:pStyle w:val="Normal"/>
              <w:widowControl w:val="false"/>
              <w:tabs>
                <w:tab w:val="left" w:pos="720" w:leader="none"/>
              </w:tabs>
              <w:rPr>
                <w:color w:val="000000"/>
                <w:sz w:val="20"/>
                <w:lang w:eastAsia="en-US"/>
              </w:rPr>
            </w:pPr>
            <w:r>
              <w:rPr>
                <w:color w:val="000000"/>
                <w:sz w:val="20"/>
                <w:lang w:eastAsia="en-US"/>
              </w:rPr>
            </w:r>
          </w:p>
          <w:p>
            <w:pPr>
              <w:pStyle w:val="Normal"/>
              <w:widowControl w:val="false"/>
              <w:tabs>
                <w:tab w:val="left" w:pos="720" w:leader="none"/>
              </w:tabs>
              <w:rPr>
                <w:color w:val="000000"/>
                <w:sz w:val="20"/>
                <w:lang w:eastAsia="en-US"/>
              </w:rPr>
            </w:pPr>
            <w:r>
              <w:rPr>
                <w:rFonts w:eastAsia="Arial"/>
                <w:color w:val="000000"/>
                <w:sz w:val="20"/>
                <w:lang w:eastAsia="en-US"/>
              </w:rPr>
              <w:t xml:space="preserve">  </w:t>
            </w:r>
            <w:r>
              <w:rPr>
                <w:color w:val="000000"/>
                <w:sz w:val="20"/>
                <w:lang w:eastAsia="en-US"/>
              </w:rPr>
              <w:t>Water, lb/MMscf</w:t>
            </w:r>
          </w:p>
        </w:tc>
        <w:tc>
          <w:tcPr>
            <w:tcW w:w="2880" w:type="dxa"/>
            <w:tcBorders>
              <w:bottom w:val="single" w:sz="4" w:space="0" w:color="000000"/>
              <w:end w:val="single" w:sz="4" w:space="0" w:color="000000"/>
            </w:tcBorders>
          </w:tcPr>
          <w:p>
            <w:pPr>
              <w:pStyle w:val="Normal"/>
              <w:widowControl w:val="false"/>
              <w:tabs>
                <w:tab w:val="left" w:pos="720" w:leader="none"/>
              </w:tabs>
              <w:snapToGrid w:val="false"/>
              <w:jc w:val="end"/>
              <w:rPr>
                <w:color w:val="000000"/>
                <w:sz w:val="20"/>
                <w:lang w:eastAsia="en-US"/>
              </w:rPr>
            </w:pPr>
            <w:r>
              <w:rPr>
                <w:color w:val="000000"/>
                <w:sz w:val="20"/>
                <w:lang w:eastAsia="en-US"/>
              </w:rPr>
            </w:r>
          </w:p>
          <w:p>
            <w:pPr>
              <w:pStyle w:val="Normal"/>
              <w:widowControl w:val="false"/>
              <w:tabs>
                <w:tab w:val="left" w:pos="720" w:leader="none"/>
              </w:tabs>
              <w:jc w:val="end"/>
              <w:rPr>
                <w:color w:val="000000"/>
                <w:sz w:val="20"/>
                <w:lang w:eastAsia="en-US"/>
              </w:rPr>
            </w:pPr>
            <w:r>
              <w:rPr>
                <w:color w:val="000000"/>
                <w:sz w:val="20"/>
                <w:lang w:eastAsia="en-US"/>
              </w:rPr>
              <w:t>0 - 12</w:t>
            </w:r>
          </w:p>
          <w:p>
            <w:pPr>
              <w:pStyle w:val="Normal"/>
              <w:widowControl w:val="false"/>
              <w:tabs>
                <w:tab w:val="left" w:pos="720" w:leader="none"/>
              </w:tabs>
              <w:jc w:val="end"/>
              <w:rPr>
                <w:color w:val="000000"/>
                <w:sz w:val="20"/>
                <w:lang w:eastAsia="en-US"/>
              </w:rPr>
            </w:pPr>
            <w:r>
              <w:rPr>
                <w:color w:val="000000"/>
                <w:sz w:val="20"/>
                <w:lang w:eastAsia="en-US"/>
              </w:rPr>
              <w:t>0 - 0.7</w:t>
            </w:r>
          </w:p>
          <w:p>
            <w:pPr>
              <w:pStyle w:val="Normal"/>
              <w:widowControl w:val="false"/>
              <w:tabs>
                <w:tab w:val="left" w:pos="720" w:leader="none"/>
              </w:tabs>
              <w:jc w:val="end"/>
              <w:rPr>
                <w:color w:val="000000"/>
                <w:sz w:val="20"/>
                <w:lang w:eastAsia="en-US"/>
              </w:rPr>
            </w:pPr>
            <w:r>
              <w:rPr>
                <w:color w:val="000000"/>
                <w:sz w:val="20"/>
                <w:lang w:eastAsia="en-US"/>
              </w:rPr>
              <w:t>0 - 0.8</w:t>
            </w:r>
          </w:p>
          <w:p>
            <w:pPr>
              <w:pStyle w:val="Normal"/>
              <w:widowControl w:val="false"/>
              <w:tabs>
                <w:tab w:val="left" w:pos="720" w:leader="none"/>
              </w:tabs>
              <w:jc w:val="end"/>
              <w:rPr>
                <w:color w:val="000000"/>
                <w:sz w:val="20"/>
                <w:lang w:eastAsia="en-US"/>
              </w:rPr>
            </w:pPr>
            <w:r>
              <w:rPr>
                <w:color w:val="000000"/>
                <w:sz w:val="20"/>
                <w:lang w:eastAsia="en-US"/>
              </w:rPr>
              <w:t>0 - 2</w:t>
            </w:r>
          </w:p>
          <w:p>
            <w:pPr>
              <w:pStyle w:val="Normal"/>
              <w:widowControl w:val="false"/>
              <w:tabs>
                <w:tab w:val="left" w:pos="720" w:leader="none"/>
              </w:tabs>
              <w:jc w:val="end"/>
              <w:rPr>
                <w:color w:val="000000"/>
                <w:sz w:val="20"/>
                <w:lang w:eastAsia="en-US"/>
              </w:rPr>
            </w:pPr>
            <w:r>
              <w:rPr>
                <w:color w:val="000000"/>
                <w:sz w:val="20"/>
                <w:lang w:eastAsia="en-US"/>
              </w:rPr>
              <w:t>0 - 12</w:t>
            </w:r>
          </w:p>
          <w:p>
            <w:pPr>
              <w:pStyle w:val="Normal"/>
              <w:widowControl w:val="false"/>
              <w:tabs>
                <w:tab w:val="left" w:pos="720" w:leader="none"/>
              </w:tabs>
              <w:jc w:val="end"/>
              <w:rPr>
                <w:color w:val="000000"/>
                <w:sz w:val="20"/>
                <w:lang w:eastAsia="en-US"/>
              </w:rPr>
            </w:pPr>
            <w:r>
              <w:rPr>
                <w:color w:val="000000"/>
                <w:sz w:val="20"/>
                <w:lang w:eastAsia="en-US"/>
              </w:rPr>
            </w:r>
          </w:p>
          <w:p>
            <w:pPr>
              <w:pStyle w:val="Normal"/>
              <w:widowControl w:val="false"/>
              <w:tabs>
                <w:tab w:val="left" w:pos="720" w:leader="none"/>
              </w:tabs>
              <w:jc w:val="end"/>
              <w:rPr>
                <w:color w:val="000000"/>
                <w:sz w:val="20"/>
                <w:lang w:eastAsia="en-US"/>
              </w:rPr>
            </w:pPr>
            <w:r>
              <w:rPr>
                <w:color w:val="000000"/>
                <w:sz w:val="20"/>
                <w:lang w:eastAsia="en-US"/>
              </w:rPr>
              <w:t>None</w:t>
            </w:r>
          </w:p>
          <w:p>
            <w:pPr>
              <w:pStyle w:val="Normal"/>
              <w:widowControl w:val="false"/>
              <w:tabs>
                <w:tab w:val="left" w:pos="720" w:leader="none"/>
              </w:tabs>
              <w:jc w:val="end"/>
              <w:rPr>
                <w:color w:val="000000"/>
                <w:sz w:val="20"/>
                <w:lang w:eastAsia="en-US"/>
              </w:rPr>
            </w:pPr>
            <w:r>
              <w:rPr>
                <w:color w:val="000000"/>
                <w:sz w:val="20"/>
                <w:lang w:eastAsia="en-US"/>
              </w:rPr>
              <w:t>None</w:t>
            </w:r>
          </w:p>
          <w:p>
            <w:pPr>
              <w:pStyle w:val="Normal"/>
              <w:widowControl w:val="false"/>
              <w:tabs>
                <w:tab w:val="left" w:pos="720" w:leader="none"/>
              </w:tabs>
              <w:jc w:val="end"/>
              <w:rPr>
                <w:color w:val="000000"/>
                <w:sz w:val="20"/>
                <w:lang w:eastAsia="en-US"/>
              </w:rPr>
            </w:pPr>
            <w:r>
              <w:rPr>
                <w:color w:val="000000"/>
                <w:sz w:val="20"/>
                <w:lang w:eastAsia="en-US"/>
              </w:rPr>
            </w:r>
          </w:p>
          <w:p>
            <w:pPr>
              <w:pStyle w:val="Normal"/>
              <w:widowControl w:val="false"/>
              <w:tabs>
                <w:tab w:val="left" w:pos="720" w:leader="none"/>
              </w:tabs>
              <w:jc w:val="end"/>
              <w:rPr>
                <w:color w:val="000000"/>
                <w:sz w:val="20"/>
                <w:lang w:eastAsia="en-US"/>
              </w:rPr>
            </w:pPr>
            <w:r>
              <w:rPr>
                <w:color w:val="000000"/>
                <w:sz w:val="20"/>
                <w:lang w:eastAsia="en-US"/>
              </w:rPr>
              <w:t>0 - 7</w:t>
            </w:r>
          </w:p>
        </w:tc>
      </w:tr>
    </w:tbl>
    <w:p>
      <w:pPr>
        <w:pStyle w:val="Normal"/>
        <w:rPr>
          <w:b/>
        </w:rPr>
      </w:pPr>
      <w:r>
        <w:rPr>
          <w:b/>
        </w:rPr>
        <w:t>C.5</w:t>
        <w:tab/>
        <w:t xml:space="preserve">Correction Factors </w:t>
      </w:r>
    </w:p>
    <w:p>
      <w:pPr>
        <w:pStyle w:val="Normal"/>
        <w:jc w:val="both"/>
        <w:rPr/>
      </w:pPr>
      <w:r>
        <w:rPr/>
        <w:t>The impact of ambient conditions on the performance of Direct FuelCell powerplants is much less severe than that seen with heat engines, but there are some impacts.  The following sections discuss the impact of various site conditions on performance, and the correction factors which can be used to adjust measured performance to performance expected under standard condition.</w:t>
      </w:r>
    </w:p>
    <w:p>
      <w:pPr>
        <w:pStyle w:val="Normal"/>
        <w:jc w:val="both"/>
        <w:rPr>
          <w:rFonts w:eastAsia="Arial"/>
        </w:rPr>
      </w:pPr>
      <w:r>
        <w:rPr>
          <w:rFonts w:eastAsia="Arial"/>
        </w:rPr>
        <w:t xml:space="preserve"> </w:t>
      </w:r>
    </w:p>
    <w:p>
      <w:pPr>
        <w:pStyle w:val="Normal"/>
        <w:jc w:val="both"/>
        <w:rPr>
          <w:b/>
        </w:rPr>
      </w:pPr>
      <w:r>
        <w:rPr>
          <w:b/>
        </w:rPr>
        <w:t>C.5.1) Ambient Temperature</w:t>
      </w:r>
    </w:p>
    <w:p>
      <w:pPr>
        <w:pStyle w:val="Normal"/>
        <w:jc w:val="both"/>
        <w:rPr/>
      </w:pPr>
      <w:r>
        <w:drawing>
          <wp:anchor behindDoc="0" distT="0" distB="0" distL="114935" distR="114935" simplePos="0" locked="0" layoutInCell="0" allowOverlap="1" relativeHeight="2">
            <wp:simplePos x="0" y="0"/>
            <wp:positionH relativeFrom="column">
              <wp:posOffset>1047115</wp:posOffset>
            </wp:positionH>
            <wp:positionV relativeFrom="paragraph">
              <wp:posOffset>797560</wp:posOffset>
            </wp:positionV>
            <wp:extent cx="3805555" cy="24269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13" r="-9" b="-13"/>
                    <a:stretch>
                      <a:fillRect/>
                    </a:stretch>
                  </pic:blipFill>
                  <pic:spPr bwMode="auto">
                    <a:xfrm>
                      <a:off x="0" y="0"/>
                      <a:ext cx="3805555" cy="2426970"/>
                    </a:xfrm>
                    <a:prstGeom prst="rect">
                      <a:avLst/>
                    </a:prstGeom>
                    <a:noFill/>
                  </pic:spPr>
                </pic:pic>
              </a:graphicData>
            </a:graphic>
          </wp:anchor>
        </w:drawing>
      </w:r>
      <w:r>
        <w:rPr/>
        <w:t xml:space="preserve">Ambient temperature affects the fuel cell performance by impacting the amount of air needed by the powerplant.  The impacts are as shown in Figures 1 and 2, which shows the trends for a 2MW unit.  The specific impacts are discussed in Table 1, which also gives correction factors. </w:t>
      </w:r>
    </w:p>
    <w:p>
      <w:pPr>
        <w:pStyle w:val="Normal"/>
        <w:jc w:val="center"/>
        <w:rPr>
          <w:b/>
        </w:rPr>
      </w:pPr>
      <w:r>
        <w:rPr>
          <w:b/>
        </w:rPr>
        <w:t>Figure C.1</w:t>
      </w:r>
    </w:p>
    <w:p>
      <w:pPr>
        <w:pStyle w:val="Normal"/>
        <w:jc w:val="center"/>
        <w:rPr>
          <w:b/>
        </w:rPr>
      </w:pPr>
      <w:r>
        <w:rPr>
          <w:b/>
        </w:rPr>
        <w:t>Effect of Ambient Temperature on Power Output (2MW Unit)</w:t>
      </w:r>
    </w:p>
    <w:p>
      <w:pPr>
        <w:pStyle w:val="Normal"/>
        <w:rPr/>
      </w:pPr>
      <w:r>
        <w:rPr/>
      </w:r>
    </w:p>
    <w:p>
      <w:pPr>
        <w:pStyle w:val="Normal"/>
        <w:rPr>
          <w:lang w:val="en-CA"/>
        </w:rPr>
      </w:pPr>
      <w:r>
        <w:rPr>
          <w:lang w:val="en-CA"/>
        </w:rPr>
        <w:drawing>
          <wp:anchor behindDoc="0" distT="0" distB="0" distL="114935" distR="114935" simplePos="0" locked="0" layoutInCell="1" allowOverlap="1" relativeHeight="3">
            <wp:simplePos x="0" y="0"/>
            <wp:positionH relativeFrom="column">
              <wp:posOffset>1165225</wp:posOffset>
            </wp:positionH>
            <wp:positionV relativeFrom="paragraph">
              <wp:posOffset>161925</wp:posOffset>
            </wp:positionV>
            <wp:extent cx="3919855" cy="2474595"/>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8" t="-12" r="-8" b="-12"/>
                    <a:stretch>
                      <a:fillRect/>
                    </a:stretch>
                  </pic:blipFill>
                  <pic:spPr bwMode="auto">
                    <a:xfrm>
                      <a:off x="0" y="0"/>
                      <a:ext cx="3919855" cy="247459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t>Figure C.2</w:t>
      </w:r>
    </w:p>
    <w:p>
      <w:pPr>
        <w:pStyle w:val="Normal"/>
        <w:jc w:val="center"/>
        <w:rPr>
          <w:b/>
        </w:rPr>
      </w:pPr>
      <w:r>
        <w:rPr>
          <w:b/>
        </w:rPr>
        <w:t>Effect of Ambient Temperature on Efficiency (2MW Unit)</w:t>
      </w:r>
    </w:p>
    <w:p>
      <w:pPr>
        <w:pStyle w:val="Normal"/>
        <w:rPr/>
      </w:pPr>
      <w:r>
        <w:rPr/>
      </w:r>
    </w:p>
    <w:p>
      <w:pPr>
        <w:pStyle w:val="Normal"/>
        <w:jc w:val="center"/>
        <w:rPr>
          <w:b/>
        </w:rPr>
      </w:pPr>
      <w:r>
        <w:rPr>
          <w:b/>
        </w:rPr>
        <w:t>Table C.4</w:t>
      </w:r>
    </w:p>
    <w:p>
      <w:pPr>
        <w:pStyle w:val="Normal"/>
        <w:jc w:val="center"/>
        <w:rPr>
          <w:b/>
        </w:rPr>
      </w:pPr>
      <w:r>
        <w:rPr>
          <w:b/>
        </w:rPr>
        <w:t>Summary of Temperature Impacts and Corrections</w:t>
      </w:r>
    </w:p>
    <w:tbl>
      <w:tblPr>
        <w:tblW w:w="9576" w:type="dxa"/>
        <w:jc w:val="start"/>
        <w:tblInd w:w="0" w:type="dxa"/>
        <w:tblLayout w:type="fixed"/>
        <w:tblCellMar>
          <w:top w:w="0" w:type="dxa"/>
          <w:start w:w="108" w:type="dxa"/>
          <w:bottom w:w="0" w:type="dxa"/>
          <w:end w:w="108" w:type="dxa"/>
        </w:tblCellMar>
      </w:tblPr>
      <w:tblGrid>
        <w:gridCol w:w="2718"/>
        <w:gridCol w:w="3240"/>
        <w:gridCol w:w="3618"/>
      </w:tblGrid>
      <w:tr>
        <w:trPr/>
        <w:tc>
          <w:tcPr>
            <w:tcW w:w="2718" w:type="dxa"/>
            <w:tcBorders>
              <w:top w:val="single" w:sz="4" w:space="0" w:color="000000"/>
              <w:start w:val="single" w:sz="4" w:space="0" w:color="000000"/>
              <w:bottom w:val="single" w:sz="4" w:space="0" w:color="000000"/>
              <w:end w:val="single" w:sz="4" w:space="0" w:color="000000"/>
            </w:tcBorders>
            <w:shd w:fill="CCCCCC" w:val="clear"/>
          </w:tcPr>
          <w:p>
            <w:pPr>
              <w:pStyle w:val="Normal"/>
              <w:rPr>
                <w:b/>
                <w:sz w:val="20"/>
              </w:rPr>
            </w:pPr>
            <w:r>
              <w:rPr>
                <w:b/>
                <w:sz w:val="20"/>
              </w:rPr>
              <w:t>Temperature Range</w:t>
            </w:r>
          </w:p>
        </w:tc>
        <w:tc>
          <w:tcPr>
            <w:tcW w:w="3240" w:type="dxa"/>
            <w:tcBorders>
              <w:top w:val="single" w:sz="4" w:space="0" w:color="000000"/>
              <w:start w:val="single" w:sz="4" w:space="0" w:color="000000"/>
              <w:bottom w:val="single" w:sz="4" w:space="0" w:color="000000"/>
              <w:end w:val="single" w:sz="4" w:space="0" w:color="000000"/>
            </w:tcBorders>
            <w:shd w:fill="CCCCCC" w:val="clear"/>
          </w:tcPr>
          <w:p>
            <w:pPr>
              <w:pStyle w:val="Normal"/>
              <w:rPr>
                <w:b/>
                <w:sz w:val="20"/>
              </w:rPr>
            </w:pPr>
            <w:r>
              <w:rPr>
                <w:b/>
                <w:sz w:val="20"/>
              </w:rPr>
              <w:t>Impact</w:t>
            </w:r>
          </w:p>
        </w:tc>
        <w:tc>
          <w:tcPr>
            <w:tcW w:w="3618" w:type="dxa"/>
            <w:tcBorders>
              <w:top w:val="single" w:sz="4" w:space="0" w:color="000000"/>
              <w:start w:val="single" w:sz="4" w:space="0" w:color="000000"/>
              <w:bottom w:val="single" w:sz="4" w:space="0" w:color="000000"/>
              <w:end w:val="single" w:sz="4" w:space="0" w:color="000000"/>
            </w:tcBorders>
            <w:shd w:fill="CCCCCC" w:val="clear"/>
          </w:tcPr>
          <w:p>
            <w:pPr>
              <w:pStyle w:val="Normal"/>
              <w:rPr>
                <w:b/>
                <w:sz w:val="20"/>
              </w:rPr>
            </w:pPr>
            <w:r>
              <w:rPr>
                <w:b/>
                <w:sz w:val="20"/>
              </w:rPr>
              <w:t>Correction</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sz w:val="20"/>
              </w:rPr>
              <w:t>Baseline Temperature, 59</w:t>
            </w:r>
            <w:r>
              <w:rPr>
                <w:sz w:val="20"/>
                <w:vertAlign w:val="superscript"/>
              </w:rPr>
              <w:t>o</w:t>
            </w:r>
            <w:r>
              <w:rPr>
                <w:sz w:val="20"/>
              </w:rPr>
              <w:t>F</w:t>
            </w:r>
          </w:p>
          <w:p>
            <w:pPr>
              <w:pStyle w:val="Normal"/>
              <w:rPr>
                <w:sz w:val="20"/>
              </w:rPr>
            </w:pPr>
            <w:r>
              <w:rPr>
                <w:sz w:val="20"/>
              </w:rPr>
              <w:t xml:space="preserve">and Baseline Range of </w:t>
            </w:r>
          </w:p>
          <w:p>
            <w:pPr>
              <w:pStyle w:val="Normal"/>
              <w:rPr/>
            </w:pPr>
            <w:r>
              <w:rPr>
                <w:sz w:val="20"/>
              </w:rPr>
              <w:t>40</w:t>
            </w:r>
            <w:r>
              <w:rPr>
                <w:sz w:val="20"/>
                <w:vertAlign w:val="superscript"/>
              </w:rPr>
              <w:t>o</w:t>
            </w:r>
            <w:r>
              <w:rPr>
                <w:sz w:val="20"/>
              </w:rPr>
              <w:t>F to 80</w:t>
            </w:r>
            <w:r>
              <w:rPr>
                <w:sz w:val="20"/>
                <w:vertAlign w:val="superscript"/>
              </w:rPr>
              <w:t>o</w:t>
            </w:r>
            <w:r>
              <w:rPr>
                <w:sz w:val="20"/>
              </w:rPr>
              <w:t>F</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 Impact</w:t>
            </w:r>
          </w:p>
        </w:tc>
        <w:tc>
          <w:tcPr>
            <w:tcW w:w="36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 Correction</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High Range</w:t>
            </w:r>
          </w:p>
          <w:p>
            <w:pPr>
              <w:pStyle w:val="Normal"/>
              <w:rPr/>
            </w:pPr>
            <w:r>
              <w:rPr>
                <w:sz w:val="20"/>
              </w:rPr>
              <w:t>81</w:t>
            </w:r>
            <w:r>
              <w:rPr>
                <w:sz w:val="20"/>
                <w:vertAlign w:val="superscript"/>
              </w:rPr>
              <w:t>o</w:t>
            </w:r>
            <w:r>
              <w:rPr>
                <w:sz w:val="20"/>
              </w:rPr>
              <w:t>F to 104</w:t>
            </w:r>
            <w:r>
              <w:rPr>
                <w:sz w:val="20"/>
                <w:vertAlign w:val="superscript"/>
              </w:rPr>
              <w:t>o</w:t>
            </w:r>
            <w:r>
              <w:rPr>
                <w:sz w:val="20"/>
              </w:rPr>
              <w:t>F</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sz w:val="20"/>
              </w:rPr>
              <w:t>Additional air needed to maintain system thermal balance: higher air blower power, dilution of cathode CO</w:t>
            </w:r>
            <w:r>
              <w:rPr>
                <w:sz w:val="20"/>
                <w:vertAlign w:val="subscript"/>
              </w:rPr>
              <w:t>2</w:t>
            </w:r>
            <w:r>
              <w:rPr>
                <w:sz w:val="20"/>
              </w:rPr>
              <w:t>.  Results in 5% power loss and 2.4 percentage points LHV efficiency drop at 104</w:t>
            </w:r>
            <w:r>
              <w:rPr>
                <w:sz w:val="20"/>
                <w:vertAlign w:val="superscript"/>
              </w:rPr>
              <w:t>o</w:t>
            </w:r>
            <w:r>
              <w:rPr>
                <w:sz w:val="20"/>
              </w:rPr>
              <w:t>F</w:t>
            </w:r>
          </w:p>
        </w:tc>
        <w:tc>
          <w:tcPr>
            <w:tcW w:w="3618" w:type="dxa"/>
            <w:tcBorders>
              <w:top w:val="single" w:sz="4" w:space="0" w:color="000000"/>
              <w:start w:val="single" w:sz="4" w:space="0" w:color="000000"/>
              <w:bottom w:val="single" w:sz="4" w:space="0" w:color="000000"/>
              <w:end w:val="single" w:sz="4" w:space="0" w:color="000000"/>
            </w:tcBorders>
          </w:tcPr>
          <w:p>
            <w:pPr>
              <w:pStyle w:val="Normal"/>
              <w:rPr/>
            </w:pPr>
            <w:r>
              <w:rPr>
                <w:sz w:val="20"/>
              </w:rPr>
              <w:t>For T</w:t>
            </w:r>
            <w:r>
              <w:rPr>
                <w:sz w:val="20"/>
                <w:vertAlign w:val="subscript"/>
              </w:rPr>
              <w:t>amb</w:t>
            </w:r>
            <w:r>
              <w:rPr>
                <w:sz w:val="20"/>
              </w:rPr>
              <w:t>&gt;80</w:t>
            </w:r>
            <w:r>
              <w:rPr>
                <w:sz w:val="20"/>
                <w:vertAlign w:val="superscript"/>
              </w:rPr>
              <w:t>o</w:t>
            </w:r>
            <w:r>
              <w:rPr>
                <w:sz w:val="20"/>
              </w:rPr>
              <w:t>F</w:t>
            </w:r>
          </w:p>
          <w:p>
            <w:pPr>
              <w:pStyle w:val="Normal"/>
              <w:rPr>
                <w:sz w:val="20"/>
              </w:rPr>
            </w:pPr>
            <w:r>
              <w:rPr>
                <w:sz w:val="20"/>
              </w:rPr>
            </w:r>
          </w:p>
          <w:p>
            <w:pPr>
              <w:pStyle w:val="Normal"/>
              <w:rPr>
                <w:sz w:val="20"/>
              </w:rPr>
            </w:pPr>
            <w:r>
              <w:rPr>
                <w:sz w:val="20"/>
              </w:rPr>
              <w:t>Maximum Unit Output =</w:t>
            </w:r>
          </w:p>
          <w:p>
            <w:pPr>
              <w:pStyle w:val="Normal"/>
              <w:rPr/>
            </w:pPr>
            <w:r>
              <w:rPr>
                <w:sz w:val="20"/>
              </w:rPr>
              <w:t xml:space="preserve">Measured Output </w:t>
            </w:r>
            <w:r>
              <w:rPr>
                <w:sz w:val="22"/>
              </w:rPr>
              <w:t>*</w:t>
            </w:r>
            <w:r>
              <w:rPr>
                <w:sz w:val="20"/>
              </w:rPr>
              <w:t xml:space="preserve"> </w:t>
            </w:r>
            <w:r>
              <w:rPr>
                <w:rFonts w:cs="Lucida Console;Tahoma" w:ascii="Lucida Console;Tahoma" w:hAnsi="Lucida Console;Tahoma"/>
              </w:rPr>
              <w:t>α</w:t>
            </w:r>
            <w:r>
              <w:rPr>
                <w:sz w:val="20"/>
                <w:vertAlign w:val="subscript"/>
              </w:rPr>
              <w:t>T</w:t>
            </w:r>
            <w:r>
              <w:rPr>
                <w:sz w:val="20"/>
              </w:rPr>
              <w:t>, where</w:t>
            </w:r>
          </w:p>
          <w:p>
            <w:pPr>
              <w:pStyle w:val="Normal"/>
              <w:rPr>
                <w:sz w:val="20"/>
              </w:rPr>
            </w:pPr>
            <w:r>
              <w:rPr>
                <w:sz w:val="20"/>
              </w:rPr>
            </w:r>
          </w:p>
          <w:p>
            <w:pPr>
              <w:pStyle w:val="Normal"/>
              <w:rPr/>
            </w:pPr>
            <w:r>
              <w:rPr>
                <w:rFonts w:cs="Lucida Console;Tahoma" w:ascii="Lucida Console;Tahoma" w:hAnsi="Lucida Console;Tahoma"/>
              </w:rPr>
              <w:t>α</w:t>
            </w:r>
            <w:r>
              <w:rPr>
                <w:sz w:val="20"/>
                <w:vertAlign w:val="subscript"/>
              </w:rPr>
              <w:t>T</w:t>
            </w:r>
            <w:r>
              <w:rPr>
                <w:sz w:val="20"/>
              </w:rPr>
              <w:t>= (</w:t>
            </w:r>
            <w:r>
              <w:rPr>
                <w:color w:val="000000"/>
                <w:sz w:val="20"/>
                <w:lang w:eastAsia="en-US"/>
              </w:rPr>
              <w:t xml:space="preserve"> 0.842+.002*T</w:t>
            </w:r>
            <w:r>
              <w:rPr>
                <w:color w:val="000000"/>
                <w:sz w:val="20"/>
                <w:vertAlign w:val="subscript"/>
                <w:lang w:eastAsia="en-US"/>
              </w:rPr>
              <w:t>amb</w:t>
            </w:r>
            <w:r>
              <w:rPr>
                <w:color w:val="000000"/>
                <w:sz w:val="20"/>
                <w:lang w:eastAsia="en-US"/>
              </w:rPr>
              <w:t xml:space="preserve"> ), where T</w:t>
            </w:r>
            <w:r>
              <w:rPr>
                <w:color w:val="000000"/>
                <w:sz w:val="20"/>
                <w:vertAlign w:val="subscript"/>
                <w:lang w:eastAsia="en-US"/>
              </w:rPr>
              <w:t>amb</w:t>
            </w:r>
            <w:r>
              <w:rPr>
                <w:color w:val="000000"/>
                <w:sz w:val="20"/>
                <w:lang w:eastAsia="en-US"/>
              </w:rPr>
              <w:t xml:space="preserve"> is local ambient temperature, degrees Fahrenheit</w:t>
            </w:r>
          </w:p>
          <w:p>
            <w:pPr>
              <w:pStyle w:val="Normal"/>
              <w:rPr>
                <w:color w:val="000000"/>
                <w:sz w:val="20"/>
                <w:lang w:eastAsia="en-US"/>
              </w:rPr>
            </w:pPr>
            <w:r>
              <w:rPr>
                <w:color w:val="000000"/>
                <w:sz w:val="20"/>
                <w:lang w:eastAsia="en-US"/>
              </w:rPr>
            </w:r>
          </w:p>
          <w:p>
            <w:pPr>
              <w:pStyle w:val="Normal"/>
              <w:rPr>
                <w:color w:val="000000"/>
                <w:sz w:val="20"/>
                <w:lang w:eastAsia="en-US"/>
              </w:rPr>
            </w:pPr>
            <w:r>
              <w:rPr>
                <w:color w:val="000000"/>
                <w:sz w:val="20"/>
                <w:lang w:eastAsia="en-US"/>
              </w:rPr>
              <w:t>Efficiency (as percent, LHV)=</w:t>
            </w:r>
          </w:p>
          <w:p>
            <w:pPr>
              <w:pStyle w:val="Normal"/>
              <w:rPr/>
            </w:pPr>
            <w:r>
              <w:rPr>
                <w:color w:val="000000"/>
                <w:sz w:val="20"/>
                <w:lang w:eastAsia="en-US"/>
              </w:rPr>
              <w:t xml:space="preserve">Measured Efficiency + </w:t>
            </w:r>
            <w:r>
              <w:rPr>
                <w:rFonts w:cs="Lucida Console;Tahoma" w:ascii="Lucida Console;Tahoma" w:hAnsi="Lucida Console;Tahoma"/>
                <w:color w:val="000000"/>
                <w:lang w:eastAsia="en-US"/>
              </w:rPr>
              <w:t>ω</w:t>
            </w:r>
            <w:r>
              <w:rPr>
                <w:color w:val="000000"/>
                <w:sz w:val="20"/>
                <w:vertAlign w:val="subscript"/>
                <w:lang w:eastAsia="en-US"/>
              </w:rPr>
              <w:t>T</w:t>
            </w:r>
            <w:r>
              <w:rPr>
                <w:color w:val="000000"/>
                <w:sz w:val="20"/>
                <w:lang w:eastAsia="en-US"/>
              </w:rPr>
              <w:t>, where</w:t>
            </w:r>
          </w:p>
          <w:p>
            <w:pPr>
              <w:pStyle w:val="Normal"/>
              <w:rPr/>
            </w:pPr>
            <w:r>
              <w:rPr>
                <w:rFonts w:cs="Lucida Console;Tahoma" w:ascii="Lucida Console;Tahoma" w:hAnsi="Lucida Console;Tahoma"/>
                <w:color w:val="000000"/>
                <w:lang w:eastAsia="en-US"/>
              </w:rPr>
              <w:t>ω</w:t>
            </w:r>
            <w:r>
              <w:rPr>
                <w:color w:val="000000"/>
                <w:sz w:val="20"/>
                <w:vertAlign w:val="subscript"/>
                <w:lang w:eastAsia="en-US"/>
              </w:rPr>
              <w:t>T</w:t>
            </w:r>
            <w:r>
              <w:rPr>
                <w:color w:val="000000"/>
                <w:sz w:val="20"/>
                <w:lang w:eastAsia="en-US"/>
              </w:rPr>
              <w:t xml:space="preserve"> = (T</w:t>
            </w:r>
            <w:r>
              <w:rPr>
                <w:color w:val="000000"/>
                <w:sz w:val="20"/>
                <w:vertAlign w:val="subscript"/>
                <w:lang w:eastAsia="en-US"/>
              </w:rPr>
              <w:t>amb</w:t>
            </w:r>
            <w:r>
              <w:rPr>
                <w:color w:val="000000"/>
                <w:sz w:val="20"/>
                <w:lang w:eastAsia="en-US"/>
              </w:rPr>
              <w:t xml:space="preserve"> </w:t>
            </w:r>
            <w:r>
              <w:rPr>
                <w:color w:val="000000"/>
                <w:lang w:eastAsia="en-US"/>
              </w:rPr>
              <w:t>*</w:t>
            </w:r>
            <w:r>
              <w:rPr>
                <w:color w:val="000000"/>
                <w:sz w:val="20"/>
                <w:lang w:eastAsia="en-US"/>
              </w:rPr>
              <w:t>0.1-8)</w:t>
            </w:r>
          </w:p>
          <w:p>
            <w:pPr>
              <w:pStyle w:val="Normal"/>
              <w:rPr>
                <w:color w:val="000000"/>
                <w:sz w:val="20"/>
                <w:lang w:eastAsia="en-US"/>
              </w:rPr>
            </w:pPr>
            <w:r>
              <w:rPr>
                <w:color w:val="000000"/>
                <w:sz w:val="20"/>
                <w:lang w:eastAsia="en-US"/>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sz w:val="20"/>
              </w:rPr>
              <w:t>Low Range</w:t>
            </w:r>
          </w:p>
          <w:p>
            <w:pPr>
              <w:pStyle w:val="Normal"/>
              <w:rPr/>
            </w:pPr>
            <w:r>
              <w:rPr>
                <w:sz w:val="20"/>
              </w:rPr>
              <w:t>-20</w:t>
            </w:r>
            <w:r>
              <w:rPr>
                <w:sz w:val="20"/>
                <w:vertAlign w:val="superscript"/>
              </w:rPr>
              <w:t>o</w:t>
            </w:r>
            <w:r>
              <w:rPr>
                <w:sz w:val="20"/>
              </w:rPr>
              <w:t>F to 39</w:t>
            </w:r>
            <w:r>
              <w:rPr>
                <w:sz w:val="20"/>
                <w:vertAlign w:val="superscript"/>
              </w:rPr>
              <w:t>o</w:t>
            </w:r>
            <w:r>
              <w:rPr>
                <w:sz w:val="20"/>
              </w:rPr>
              <w:t>F</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sz w:val="20"/>
              </w:rPr>
              <w:t>Less air is needed to maintain system thermal balance: lower air blower power, but dilution of cathode O</w:t>
            </w:r>
            <w:r>
              <w:rPr>
                <w:sz w:val="20"/>
                <w:vertAlign w:val="subscript"/>
              </w:rPr>
              <w:t>2</w:t>
            </w:r>
            <w:r>
              <w:rPr>
                <w:sz w:val="20"/>
              </w:rPr>
              <w:t xml:space="preserve"> reduces cell performance.  Results in 3% power loss and 1.2 percentage point LHV efficiency drop at </w:t>
            </w:r>
          </w:p>
          <w:p>
            <w:pPr>
              <w:pStyle w:val="Normal"/>
              <w:rPr/>
            </w:pPr>
            <w:r>
              <w:rPr>
                <w:sz w:val="20"/>
              </w:rPr>
              <w:t>–</w:t>
            </w:r>
            <w:r>
              <w:rPr>
                <w:sz w:val="20"/>
              </w:rPr>
              <w:t>20</w:t>
            </w:r>
            <w:r>
              <w:rPr>
                <w:sz w:val="20"/>
                <w:vertAlign w:val="superscript"/>
              </w:rPr>
              <w:t>o</w:t>
            </w:r>
            <w:r>
              <w:rPr>
                <w:sz w:val="20"/>
              </w:rPr>
              <w:t>F</w:t>
            </w:r>
          </w:p>
        </w:tc>
        <w:tc>
          <w:tcPr>
            <w:tcW w:w="3618" w:type="dxa"/>
            <w:tcBorders>
              <w:top w:val="single" w:sz="4" w:space="0" w:color="000000"/>
              <w:start w:val="single" w:sz="4" w:space="0" w:color="000000"/>
              <w:bottom w:val="single" w:sz="4" w:space="0" w:color="000000"/>
              <w:end w:val="single" w:sz="4" w:space="0" w:color="000000"/>
            </w:tcBorders>
          </w:tcPr>
          <w:p>
            <w:pPr>
              <w:pStyle w:val="Normal"/>
              <w:rPr/>
            </w:pPr>
            <w:r>
              <w:rPr>
                <w:sz w:val="20"/>
              </w:rPr>
              <w:t>For T</w:t>
            </w:r>
            <w:r>
              <w:rPr>
                <w:sz w:val="20"/>
                <w:vertAlign w:val="subscript"/>
              </w:rPr>
              <w:t>amb</w:t>
            </w:r>
            <w:r>
              <w:rPr>
                <w:sz w:val="20"/>
              </w:rPr>
              <w:t>&lt;40</w:t>
            </w:r>
            <w:r>
              <w:rPr>
                <w:sz w:val="20"/>
                <w:vertAlign w:val="superscript"/>
              </w:rPr>
              <w:t>o</w:t>
            </w:r>
            <w:r>
              <w:rPr>
                <w:sz w:val="20"/>
              </w:rPr>
              <w:t>F</w:t>
            </w:r>
          </w:p>
          <w:p>
            <w:pPr>
              <w:pStyle w:val="Normal"/>
              <w:rPr>
                <w:sz w:val="20"/>
              </w:rPr>
            </w:pPr>
            <w:r>
              <w:rPr>
                <w:sz w:val="20"/>
              </w:rPr>
            </w:r>
          </w:p>
          <w:p>
            <w:pPr>
              <w:pStyle w:val="Normal"/>
              <w:rPr>
                <w:sz w:val="20"/>
              </w:rPr>
            </w:pPr>
            <w:r>
              <w:rPr>
                <w:sz w:val="20"/>
              </w:rPr>
              <w:t>Maximum Unit Output =</w:t>
            </w:r>
          </w:p>
          <w:p>
            <w:pPr>
              <w:pStyle w:val="Normal"/>
              <w:rPr/>
            </w:pPr>
            <w:r>
              <w:rPr>
                <w:sz w:val="20"/>
              </w:rPr>
              <w:t xml:space="preserve">Measured Output x </w:t>
            </w:r>
            <w:r>
              <w:rPr>
                <w:rFonts w:cs="Lucida Console;Tahoma" w:ascii="Lucida Console;Tahoma" w:hAnsi="Lucida Console;Tahoma"/>
              </w:rPr>
              <w:t>α</w:t>
            </w:r>
            <w:r>
              <w:rPr>
                <w:sz w:val="20"/>
                <w:vertAlign w:val="subscript"/>
              </w:rPr>
              <w:t>T</w:t>
            </w:r>
            <w:r>
              <w:rPr>
                <w:sz w:val="20"/>
              </w:rPr>
              <w:t>, where</w:t>
            </w:r>
          </w:p>
          <w:p>
            <w:pPr>
              <w:pStyle w:val="Normal"/>
              <w:rPr/>
            </w:pPr>
            <w:r>
              <w:rPr>
                <w:rFonts w:cs="Lucida Console;Tahoma" w:ascii="Lucida Console;Tahoma" w:hAnsi="Lucida Console;Tahoma"/>
              </w:rPr>
              <w:t>α</w:t>
            </w:r>
            <w:r>
              <w:rPr>
                <w:sz w:val="20"/>
                <w:vertAlign w:val="subscript"/>
              </w:rPr>
              <w:t>T</w:t>
            </w:r>
            <w:r>
              <w:rPr>
                <w:sz w:val="20"/>
              </w:rPr>
              <w:t>= (</w:t>
            </w:r>
            <w:r>
              <w:rPr>
                <w:color w:val="000000"/>
                <w:sz w:val="20"/>
                <w:lang w:eastAsia="en-US"/>
              </w:rPr>
              <w:t xml:space="preserve"> 1.02-.0005*T</w:t>
            </w:r>
            <w:r>
              <w:rPr>
                <w:color w:val="000000"/>
                <w:sz w:val="20"/>
                <w:vertAlign w:val="subscript"/>
                <w:lang w:eastAsia="en-US"/>
              </w:rPr>
              <w:t>amb</w:t>
            </w:r>
            <w:r>
              <w:rPr>
                <w:color w:val="000000"/>
                <w:sz w:val="20"/>
                <w:lang w:eastAsia="en-US"/>
              </w:rPr>
              <w:t xml:space="preserve"> ), where T</w:t>
            </w:r>
            <w:r>
              <w:rPr>
                <w:color w:val="000000"/>
                <w:sz w:val="20"/>
                <w:vertAlign w:val="subscript"/>
                <w:lang w:eastAsia="en-US"/>
              </w:rPr>
              <w:t>amb</w:t>
            </w:r>
            <w:r>
              <w:rPr>
                <w:color w:val="000000"/>
                <w:sz w:val="20"/>
                <w:lang w:eastAsia="en-US"/>
              </w:rPr>
              <w:t xml:space="preserve"> is local ambient temperature, degrees Fahrenheit</w:t>
            </w:r>
          </w:p>
          <w:p>
            <w:pPr>
              <w:pStyle w:val="Normal"/>
              <w:rPr>
                <w:color w:val="000000"/>
                <w:sz w:val="20"/>
                <w:lang w:eastAsia="en-US"/>
              </w:rPr>
            </w:pPr>
            <w:r>
              <w:rPr>
                <w:color w:val="000000"/>
                <w:sz w:val="20"/>
                <w:lang w:eastAsia="en-US"/>
              </w:rPr>
            </w:r>
          </w:p>
          <w:p>
            <w:pPr>
              <w:pStyle w:val="Normal"/>
              <w:rPr>
                <w:color w:val="000000"/>
                <w:sz w:val="20"/>
                <w:lang w:eastAsia="en-US"/>
              </w:rPr>
            </w:pPr>
            <w:r>
              <w:rPr>
                <w:color w:val="000000"/>
                <w:sz w:val="20"/>
                <w:lang w:eastAsia="en-US"/>
              </w:rPr>
              <w:t>Efficiency (as percent, LHV)=</w:t>
            </w:r>
          </w:p>
          <w:p>
            <w:pPr>
              <w:pStyle w:val="Normal"/>
              <w:rPr/>
            </w:pPr>
            <w:r>
              <w:rPr>
                <w:color w:val="000000"/>
                <w:sz w:val="20"/>
                <w:lang w:eastAsia="en-US"/>
              </w:rPr>
              <w:t xml:space="preserve">Measured Efficiency + </w:t>
            </w:r>
            <w:r>
              <w:rPr>
                <w:rFonts w:cs="Lucida Console;Tahoma" w:ascii="Lucida Console;Tahoma" w:hAnsi="Lucida Console;Tahoma"/>
                <w:color w:val="000000"/>
                <w:lang w:eastAsia="en-US"/>
              </w:rPr>
              <w:t>ω</w:t>
            </w:r>
            <w:r>
              <w:rPr>
                <w:color w:val="000000"/>
                <w:sz w:val="20"/>
                <w:vertAlign w:val="subscript"/>
                <w:lang w:eastAsia="en-US"/>
              </w:rPr>
              <w:t>T</w:t>
            </w:r>
            <w:r>
              <w:rPr>
                <w:color w:val="000000"/>
                <w:sz w:val="20"/>
                <w:lang w:eastAsia="en-US"/>
              </w:rPr>
              <w:t>, where</w:t>
            </w:r>
          </w:p>
          <w:p>
            <w:pPr>
              <w:pStyle w:val="Normal"/>
              <w:rPr/>
            </w:pPr>
            <w:r>
              <w:rPr>
                <w:rFonts w:cs="Lucida Console;Tahoma" w:ascii="Lucida Console;Tahoma" w:hAnsi="Lucida Console;Tahoma"/>
                <w:color w:val="000000"/>
                <w:lang w:eastAsia="en-US"/>
              </w:rPr>
              <w:t>ω</w:t>
            </w:r>
            <w:r>
              <w:rPr>
                <w:color w:val="000000"/>
                <w:sz w:val="20"/>
                <w:vertAlign w:val="subscript"/>
                <w:lang w:eastAsia="en-US"/>
              </w:rPr>
              <w:t>T</w:t>
            </w:r>
            <w:r>
              <w:rPr>
                <w:color w:val="000000"/>
                <w:sz w:val="20"/>
                <w:lang w:eastAsia="en-US"/>
              </w:rPr>
              <w:t xml:space="preserve"> = (0.8-T</w:t>
            </w:r>
            <w:r>
              <w:rPr>
                <w:color w:val="000000"/>
                <w:sz w:val="20"/>
                <w:vertAlign w:val="subscript"/>
                <w:lang w:eastAsia="en-US"/>
              </w:rPr>
              <w:t>amb</w:t>
            </w:r>
            <w:r>
              <w:rPr>
                <w:color w:val="000000"/>
                <w:sz w:val="20"/>
                <w:lang w:eastAsia="en-US"/>
              </w:rPr>
              <w:t xml:space="preserve"> </w:t>
            </w:r>
            <w:r>
              <w:rPr>
                <w:color w:val="000000"/>
                <w:lang w:eastAsia="en-US"/>
              </w:rPr>
              <w:t>*</w:t>
            </w:r>
            <w:r>
              <w:rPr>
                <w:color w:val="000000"/>
                <w:sz w:val="20"/>
                <w:lang w:eastAsia="en-US"/>
              </w:rPr>
              <w:t>0.02)</w:t>
            </w:r>
          </w:p>
          <w:p>
            <w:pPr>
              <w:pStyle w:val="Normal"/>
              <w:rPr>
                <w:color w:val="000000"/>
                <w:sz w:val="20"/>
                <w:lang w:eastAsia="en-US"/>
              </w:rPr>
            </w:pPr>
            <w:r>
              <w:rPr>
                <w:color w:val="000000"/>
                <w:sz w:val="20"/>
                <w:lang w:eastAsia="en-US"/>
              </w:rPr>
            </w:r>
          </w:p>
        </w:tc>
      </w:tr>
    </w:tbl>
    <w:p>
      <w:pPr>
        <w:pStyle w:val="Normal"/>
        <w:rPr/>
      </w:pPr>
      <w:r>
        <w:rPr/>
      </w:r>
    </w:p>
    <w:p>
      <w:pPr>
        <w:pStyle w:val="Normal"/>
        <w:rPr/>
      </w:pPr>
      <w:r>
        <w:rPr/>
      </w:r>
    </w:p>
    <w:p>
      <w:pPr>
        <w:pStyle w:val="Normal"/>
        <w:rPr>
          <w:b/>
        </w:rPr>
      </w:pPr>
      <w:r>
        <w:rPr>
          <w:b/>
        </w:rPr>
        <w:t>C.5.2)  Elevation</w:t>
      </w:r>
    </w:p>
    <w:p>
      <w:pPr>
        <w:pStyle w:val="Normal"/>
        <w:jc w:val="both"/>
        <w:rPr/>
      </w:pPr>
      <w:r>
        <w:rPr/>
        <w:t>The effect on the powerplant due to operation at elevations above sea level (due to the lower barometric pressure) stems from two impacts:  At lower barometric pressure, the air supply blower has to deliver more volume to provide the required mass flow for thermal balance.  This will result in an additional parasitic loss on the order of 15kW for the 2MW plant and 18kW for the 2.4MW plant (~0.75%) at 2500 feet above sea level (i.e. at an ambient pressure of 13.4 psia vs 14.7psia at sea level).  Also, the fuel cell reactions are slightly less efficient at lower pressure, bring the impact on power up to 1.5% .  The performance correction is therefore:</w:t>
      </w:r>
    </w:p>
    <w:p>
      <w:pPr>
        <w:pStyle w:val="Normal"/>
        <w:rPr/>
      </w:pPr>
      <w:r>
        <w:rPr/>
      </w:r>
    </w:p>
    <w:p>
      <w:pPr>
        <w:pStyle w:val="Normal"/>
        <w:rPr/>
      </w:pPr>
      <w:r>
        <w:rPr/>
        <w:t xml:space="preserve">Maximum Unit Output = Measured Unit Output x  </w:t>
      </w:r>
      <w:r>
        <w:rPr>
          <w:rFonts w:cs="Lucida Console;Tahoma" w:ascii="Lucida Console;Tahoma" w:hAnsi="Lucida Console;Tahoma"/>
          <w:sz w:val="28"/>
        </w:rPr>
        <w:t>α</w:t>
      </w:r>
      <w:r>
        <w:rPr>
          <w:rFonts w:cs="Times New Roman" w:ascii="Times New Roman" w:hAnsi="Times New Roman"/>
          <w:sz w:val="28"/>
          <w:vertAlign w:val="subscript"/>
        </w:rPr>
        <w:t>H</w:t>
      </w:r>
      <w:r>
        <w:rPr/>
        <w:t xml:space="preserve"> where </w:t>
      </w:r>
    </w:p>
    <w:p>
      <w:pPr>
        <w:pStyle w:val="Normal"/>
        <w:rPr/>
      </w:pPr>
      <w:r>
        <w:rPr>
          <w:rFonts w:eastAsia="Arial"/>
        </w:rPr>
        <w:t xml:space="preserve"> </w:t>
      </w:r>
      <w:r>
        <w:rPr>
          <w:rFonts w:cs="Lucida Console;Tahoma" w:ascii="Lucida Console;Tahoma" w:hAnsi="Lucida Console;Tahoma"/>
          <w:sz w:val="28"/>
        </w:rPr>
        <w:t>α</w:t>
      </w:r>
      <w:r>
        <w:rPr>
          <w:rFonts w:cs="Times New Roman" w:ascii="Times New Roman" w:hAnsi="Times New Roman"/>
          <w:sz w:val="28"/>
          <w:vertAlign w:val="subscript"/>
        </w:rPr>
        <w:t>H</w:t>
      </w:r>
      <w:r>
        <w:rPr/>
        <w:t xml:space="preserve"> = 1+</w:t>
      </w:r>
      <w:r>
        <w:rPr>
          <w:rFonts w:cs="Times New Roman" w:ascii="Times New Roman" w:hAnsi="Times New Roman"/>
        </w:rPr>
        <w:t xml:space="preserve">H x </w:t>
      </w:r>
      <w:r>
        <w:rPr/>
        <w:t>0.006,</w:t>
      </w:r>
    </w:p>
    <w:p>
      <w:pPr>
        <w:pStyle w:val="Normal"/>
        <w:rPr/>
      </w:pPr>
      <w:r>
        <w:rPr/>
        <w:t xml:space="preserve">Where </w:t>
      </w:r>
      <w:r>
        <w:rPr>
          <w:rFonts w:cs="Times New Roman" w:ascii="Times New Roman" w:hAnsi="Times New Roman"/>
        </w:rPr>
        <w:t>H</w:t>
      </w:r>
      <w:r>
        <w:rPr/>
        <w:t xml:space="preserve"> = elevation, thousands of feet above sea level.   In terms of barometric pressure, the relationship is:</w:t>
      </w:r>
    </w:p>
    <w:p>
      <w:pPr>
        <w:pStyle w:val="Normal"/>
        <w:rPr/>
      </w:pPr>
      <w:r>
        <w:rPr/>
      </w:r>
    </w:p>
    <w:p>
      <w:pPr>
        <w:pStyle w:val="Normal"/>
        <w:rPr/>
      </w:pPr>
      <w:r>
        <w:rPr/>
        <w:t xml:space="preserve">Maximum Unit Output = Measured Unit Output x  </w:t>
      </w:r>
      <w:r>
        <w:rPr>
          <w:rFonts w:cs="Lucida Console;Tahoma" w:ascii="Lucida Console;Tahoma" w:hAnsi="Lucida Console;Tahoma"/>
          <w:sz w:val="28"/>
        </w:rPr>
        <w:t>α</w:t>
      </w:r>
      <w:r>
        <w:rPr>
          <w:rFonts w:cs="Times New Roman" w:ascii="Times New Roman" w:hAnsi="Times New Roman"/>
          <w:sz w:val="28"/>
          <w:vertAlign w:val="subscript"/>
        </w:rPr>
        <w:t>H</w:t>
      </w:r>
      <w:r>
        <w:rPr/>
        <w:t xml:space="preserve"> where </w:t>
      </w:r>
    </w:p>
    <w:p>
      <w:pPr>
        <w:pStyle w:val="Normal"/>
        <w:rPr/>
      </w:pPr>
      <w:r>
        <w:rPr>
          <w:rFonts w:eastAsia="Arial"/>
        </w:rPr>
        <w:t xml:space="preserve"> </w:t>
      </w:r>
      <w:r>
        <w:rPr>
          <w:rFonts w:cs="Lucida Console;Tahoma" w:ascii="Lucida Console;Tahoma" w:hAnsi="Lucida Console;Tahoma"/>
          <w:sz w:val="28"/>
        </w:rPr>
        <w:t>α</w:t>
      </w:r>
      <w:r>
        <w:rPr>
          <w:rFonts w:cs="Times New Roman" w:ascii="Times New Roman" w:hAnsi="Times New Roman"/>
          <w:sz w:val="28"/>
          <w:vertAlign w:val="subscript"/>
        </w:rPr>
        <w:t>P</w:t>
      </w:r>
      <w:r>
        <w:rPr/>
        <w:t xml:space="preserve"> = 1.17 - </w:t>
      </w:r>
      <w:r>
        <w:rPr>
          <w:rFonts w:cs="Times New Roman" w:ascii="Times New Roman" w:hAnsi="Times New Roman"/>
        </w:rPr>
        <w:t xml:space="preserve">P x </w:t>
      </w:r>
      <w:r>
        <w:rPr/>
        <w:t>0.0015</w:t>
      </w:r>
    </w:p>
    <w:p>
      <w:pPr>
        <w:pStyle w:val="Normal"/>
        <w:rPr/>
      </w:pPr>
      <w:r>
        <w:rPr/>
        <w:t xml:space="preserve">Where </w:t>
      </w:r>
      <w:r>
        <w:rPr>
          <w:rFonts w:cs="Times New Roman" w:ascii="Times New Roman" w:hAnsi="Times New Roman"/>
        </w:rPr>
        <w:t>P</w:t>
      </w:r>
      <w:r>
        <w:rPr/>
        <w:t xml:space="preserve"> = Pressure, psia</w:t>
      </w:r>
    </w:p>
    <w:p>
      <w:pPr>
        <w:pStyle w:val="Normal"/>
        <w:rPr/>
      </w:pPr>
      <w:r>
        <w:rPr/>
      </w:r>
    </w:p>
    <w:p>
      <w:pPr>
        <w:pStyle w:val="Normal"/>
        <w:rPr/>
      </w:pPr>
      <w:r>
        <w:rPr/>
        <w:t>Efficiency is impacted by 0.8 percentage points.  The correction is</w:t>
      </w:r>
    </w:p>
    <w:p>
      <w:pPr>
        <w:pStyle w:val="Normal"/>
        <w:rPr/>
      </w:pPr>
      <w:r>
        <w:rPr/>
        <w:t xml:space="preserve">Efficiency (as percent, LHV) = Measured Efficiency + </w:t>
      </w:r>
      <w:r>
        <w:rPr>
          <w:rFonts w:cs="Lucida Console;Tahoma" w:ascii="Lucida Console;Tahoma" w:hAnsi="Lucida Console;Tahoma"/>
          <w:color w:val="000000"/>
          <w:sz w:val="28"/>
          <w:lang w:eastAsia="en-US"/>
        </w:rPr>
        <w:t>ω</w:t>
      </w:r>
      <w:r>
        <w:rPr>
          <w:color w:val="000000"/>
          <w:sz w:val="20"/>
          <w:vertAlign w:val="subscript"/>
          <w:lang w:eastAsia="en-US"/>
        </w:rPr>
        <w:t>H</w:t>
      </w:r>
      <w:r>
        <w:rPr/>
        <w:t xml:space="preserve"> , where</w:t>
      </w:r>
    </w:p>
    <w:p>
      <w:pPr>
        <w:pStyle w:val="Normal"/>
        <w:rPr/>
      </w:pPr>
      <w:r>
        <w:rPr>
          <w:rFonts w:cs="Lucida Console;Tahoma" w:ascii="Lucida Console;Tahoma" w:hAnsi="Lucida Console;Tahoma"/>
          <w:color w:val="000000"/>
          <w:sz w:val="28"/>
          <w:lang w:eastAsia="en-US"/>
        </w:rPr>
        <w:t>ω</w:t>
      </w:r>
      <w:r>
        <w:rPr>
          <w:color w:val="000000"/>
          <w:sz w:val="20"/>
          <w:vertAlign w:val="subscript"/>
          <w:lang w:eastAsia="en-US"/>
        </w:rPr>
        <w:t>H</w:t>
      </w:r>
      <w:r>
        <w:rPr>
          <w:color w:val="000000"/>
          <w:lang w:eastAsia="en-US"/>
        </w:rPr>
        <w:t xml:space="preserve"> = 0.32 x </w:t>
      </w:r>
      <w:r>
        <w:rPr>
          <w:rFonts w:cs="Times New Roman" w:ascii="Times New Roman" w:hAnsi="Times New Roman"/>
        </w:rPr>
        <w:t>H</w:t>
      </w:r>
      <w:r>
        <w:rPr/>
        <w:t>,</w:t>
      </w:r>
    </w:p>
    <w:p>
      <w:pPr>
        <w:pStyle w:val="Normal"/>
        <w:rPr/>
      </w:pPr>
      <w:r>
        <w:rPr/>
        <w:t xml:space="preserve">Where </w:t>
      </w:r>
      <w:r>
        <w:rPr>
          <w:rFonts w:cs="Times New Roman" w:ascii="Times New Roman" w:hAnsi="Times New Roman"/>
        </w:rPr>
        <w:t>H</w:t>
      </w:r>
      <w:r>
        <w:rPr/>
        <w:t xml:space="preserve"> = elevation, thousands of feet above sea level.</w:t>
      </w:r>
    </w:p>
    <w:p>
      <w:pPr>
        <w:pStyle w:val="Normal"/>
        <w:rPr/>
      </w:pPr>
      <w:r>
        <w:rPr/>
        <w:t>So 49.2 percent LHV efficiency measured at 2500 feet above sea level would be corrected to 50 percent, by adding 0.32 times 2.5.</w:t>
      </w:r>
    </w:p>
    <w:p>
      <w:pPr>
        <w:pStyle w:val="Normal"/>
        <w:rPr/>
      </w:pPr>
      <w:r>
        <w:rPr/>
      </w:r>
    </w:p>
    <w:p>
      <w:pPr>
        <w:pStyle w:val="Normal"/>
        <w:rPr/>
      </w:pPr>
      <w:r>
        <w:rPr/>
        <w:t>In terms of pressure, the correction is:</w:t>
      </w:r>
    </w:p>
    <w:p>
      <w:pPr>
        <w:pStyle w:val="Normal"/>
        <w:rPr/>
      </w:pPr>
      <w:r>
        <w:rPr/>
        <w:t xml:space="preserve">Efficiency (as percent, LHV) = Measured Efficiency + </w:t>
      </w:r>
      <w:r>
        <w:rPr>
          <w:rFonts w:cs="Lucida Console;Tahoma" w:ascii="Lucida Console;Tahoma" w:hAnsi="Lucida Console;Tahoma"/>
          <w:color w:val="000000"/>
          <w:sz w:val="28"/>
          <w:lang w:eastAsia="en-US"/>
        </w:rPr>
        <w:t>ω</w:t>
      </w:r>
      <w:r>
        <w:rPr>
          <w:color w:val="000000"/>
          <w:sz w:val="20"/>
          <w:vertAlign w:val="subscript"/>
          <w:lang w:eastAsia="en-US"/>
        </w:rPr>
        <w:t>P</w:t>
      </w:r>
      <w:r>
        <w:rPr/>
        <w:t xml:space="preserve"> , where</w:t>
      </w:r>
    </w:p>
    <w:p>
      <w:pPr>
        <w:pStyle w:val="Normal"/>
        <w:rPr/>
      </w:pPr>
      <w:r>
        <w:rPr>
          <w:rFonts w:cs="Lucida Console;Tahoma" w:ascii="Lucida Console;Tahoma" w:hAnsi="Lucida Console;Tahoma"/>
          <w:color w:val="000000"/>
          <w:sz w:val="28"/>
          <w:lang w:eastAsia="en-US"/>
        </w:rPr>
        <w:t>ω</w:t>
      </w:r>
      <w:r>
        <w:rPr>
          <w:color w:val="000000"/>
          <w:sz w:val="20"/>
          <w:vertAlign w:val="subscript"/>
          <w:lang w:eastAsia="en-US"/>
        </w:rPr>
        <w:t>P</w:t>
      </w:r>
      <w:r>
        <w:rPr>
          <w:color w:val="000000"/>
          <w:lang w:eastAsia="en-US"/>
        </w:rPr>
        <w:t xml:space="preserve"> = 9.04 - 0.615 x </w:t>
      </w:r>
      <w:r>
        <w:rPr>
          <w:rFonts w:cs="Times New Roman" w:ascii="Times New Roman" w:hAnsi="Times New Roman"/>
        </w:rPr>
        <w:t>P</w:t>
      </w:r>
      <w:r>
        <w:rPr/>
        <w:t>,</w:t>
      </w:r>
    </w:p>
    <w:p>
      <w:pPr>
        <w:pStyle w:val="Normal"/>
        <w:rPr/>
      </w:pPr>
      <w:r>
        <w:rPr/>
        <w:t xml:space="preserve">Where </w:t>
      </w:r>
      <w:r>
        <w:rPr>
          <w:rFonts w:cs="Times New Roman" w:ascii="Times New Roman" w:hAnsi="Times New Roman"/>
        </w:rPr>
        <w:t>P</w:t>
      </w:r>
      <w:r>
        <w:rPr/>
        <w:t xml:space="preserve"> = barometric pressure, psia</w:t>
      </w:r>
    </w:p>
    <w:p>
      <w:pPr>
        <w:pStyle w:val="Normal"/>
        <w:rPr/>
      </w:pPr>
      <w:r>
        <w:rPr/>
        <w:t>For example, if ambient pressure is 13.4 psi (e.g. @ 2500 feet), then</w:t>
      </w:r>
    </w:p>
    <w:p>
      <w:pPr>
        <w:pStyle w:val="Normal"/>
        <w:rPr/>
      </w:pPr>
      <w:r>
        <w:rPr>
          <w:rFonts w:eastAsia="Arial"/>
        </w:rPr>
        <w:t xml:space="preserve"> </w:t>
      </w:r>
      <w:r>
        <w:rPr>
          <w:rFonts w:cs="Lucida Console;Tahoma" w:ascii="Lucida Console;Tahoma" w:hAnsi="Lucida Console;Tahoma"/>
          <w:color w:val="000000"/>
          <w:sz w:val="28"/>
          <w:lang w:eastAsia="en-US"/>
        </w:rPr>
        <w:t>ω</w:t>
      </w:r>
      <w:r>
        <w:rPr>
          <w:color w:val="000000"/>
          <w:sz w:val="20"/>
          <w:vertAlign w:val="subscript"/>
          <w:lang w:eastAsia="en-US"/>
        </w:rPr>
        <w:t>P</w:t>
      </w:r>
      <w:r>
        <w:rPr>
          <w:color w:val="000000"/>
          <w:lang w:eastAsia="en-US"/>
        </w:rPr>
        <w:t xml:space="preserve"> = 9.04 - 0.615 x </w:t>
      </w:r>
      <w:r>
        <w:rPr/>
        <w:t>13.4  =  0.8 percentage points</w:t>
      </w:r>
    </w:p>
    <w:p>
      <w:pPr>
        <w:pStyle w:val="Normal"/>
        <w:rPr/>
      </w:pPr>
      <w:r>
        <w:rPr/>
        <w:t xml:space="preserve">An efficiency of 49.2 percent measured with 13.4psi ambient pressure would be corrected to 49.2 + </w:t>
      </w:r>
      <w:r>
        <w:rPr>
          <w:rFonts w:cs="Lucida Console;Tahoma" w:ascii="Lucida Console;Tahoma" w:hAnsi="Lucida Console;Tahoma"/>
          <w:color w:val="000000"/>
          <w:sz w:val="28"/>
          <w:lang w:eastAsia="en-US"/>
        </w:rPr>
        <w:t>ω</w:t>
      </w:r>
      <w:r>
        <w:rPr>
          <w:color w:val="000000"/>
          <w:sz w:val="20"/>
          <w:vertAlign w:val="subscript"/>
          <w:lang w:eastAsia="en-US"/>
        </w:rPr>
        <w:t>P</w:t>
      </w:r>
      <w:r>
        <w:rPr/>
        <w:t>, or 49.2 + 0.8 = 50 percent</w:t>
      </w:r>
    </w:p>
    <w:p>
      <w:pPr>
        <w:pStyle w:val="Normal"/>
        <w:rPr/>
      </w:pPr>
      <w:r>
        <w:rPr/>
      </w:r>
    </w:p>
    <w:p>
      <w:pPr>
        <w:pStyle w:val="Normal"/>
        <w:rPr>
          <w:b/>
        </w:rPr>
      </w:pPr>
      <w:r>
        <w:rPr>
          <w:b/>
        </w:rPr>
        <w:t>C.5.3) Natural Gas Composition.</w:t>
      </w:r>
    </w:p>
    <w:p>
      <w:pPr>
        <w:pStyle w:val="Normal"/>
        <w:jc w:val="both"/>
        <w:rPr/>
      </w:pPr>
      <w:r>
        <w:rPr/>
        <w:t>So long as the natural gas composition falls within the range listed in Table C.3, no adjustment need be made to the efficiency or power output.  This range covers a large percentage of North American natural gas pipeline supplies.  For natural gas compositions outside this range, the specific gas composition will need to be analyzed to determine the performance impact.</w:t>
      </w:r>
    </w:p>
    <w:p>
      <w:pPr>
        <w:pStyle w:val="Normal"/>
        <w:rPr/>
      </w:pPr>
      <w:r>
        <w:rPr/>
      </w:r>
    </w:p>
    <w:p>
      <w:pPr>
        <w:pStyle w:val="Normal"/>
        <w:rPr>
          <w:b/>
        </w:rPr>
      </w:pPr>
      <w:r>
        <w:rPr>
          <w:b/>
        </w:rPr>
        <w:t>C.5.4) Power Factor</w:t>
      </w:r>
    </w:p>
    <w:p>
      <w:pPr>
        <w:pStyle w:val="Normal"/>
        <w:jc w:val="both"/>
        <w:rPr/>
      </w:pPr>
      <w:r>
        <w:rPr/>
        <w:t>The plant will be designed to provide Maximum Unit Output with a power factor range of 0.9 leading to 0.9 lagging.  Incorporating electrical equipment in anticipation of restacks with higher output capability within the same power factor range extends this capability.  This results in an anticipated output capability of 3000kW with 0.9 leading or lagging power factor, or 3333 net KVA.  For 2 and 2.4MW powerplants operating with a wider power factor range, power output will not have to curtailed unless total KVA exceeds 3300.  For the 2MW plant this is 0.6 power factor, for the 2.4MW plant this is .73 power factor.  Power factors outside this range will require a reduction in power output to keep total KVA below 3300.</w:t>
      </w:r>
    </w:p>
    <w:p>
      <w:pPr>
        <w:pStyle w:val="Normal"/>
        <w:jc w:val="both"/>
        <w:rPr/>
      </w:pPr>
      <w:r>
        <w:rPr/>
      </w:r>
    </w:p>
    <w:p>
      <w:pPr>
        <w:pStyle w:val="Normal"/>
        <w:jc w:val="both"/>
        <w:rPr>
          <w:b/>
        </w:rPr>
      </w:pPr>
      <w:r>
        <w:rPr>
          <w:b/>
        </w:rPr>
        <w:t>C.5.5) Operating History</w:t>
      </w:r>
    </w:p>
    <w:p>
      <w:pPr>
        <w:pStyle w:val="Normal"/>
        <w:jc w:val="both"/>
        <w:rPr/>
      </w:pPr>
      <w:r>
        <w:rPr/>
        <w:t>The power output and efficiency projections for stack modules operated for extended periods of time assume that no more than two thermal cycles per calendar year occur.  A thermal cycle is defined as a cooldown of the stack to less than 900 degrees Fahrenheit.  If the stack modules are cycled more than twice per year, an additional performance loss may occur.</w:t>
      </w:r>
    </w:p>
    <w:p>
      <w:pPr>
        <w:pStyle w:val="Normal"/>
        <w:jc w:val="both"/>
        <w:rPr/>
      </w:pPr>
      <w:r>
        <w:rPr/>
      </w:r>
    </w:p>
    <w:p>
      <w:pPr>
        <w:pStyle w:val="Normal"/>
        <w:jc w:val="both"/>
        <w:rPr/>
      </w:pPr>
      <w:r>
        <w:rPr/>
        <w:t>For every extra annual thermal cycle (beyond 2 per year), Maximum Unit Output should be corrected by 1%, i.e.</w:t>
      </w:r>
    </w:p>
    <w:p>
      <w:pPr>
        <w:pStyle w:val="Normal"/>
        <w:jc w:val="both"/>
        <w:rPr/>
      </w:pPr>
      <w:r>
        <w:rPr/>
      </w:r>
    </w:p>
    <w:p>
      <w:pPr>
        <w:pStyle w:val="Normal"/>
        <w:jc w:val="both"/>
        <w:rPr/>
      </w:pPr>
      <w:r>
        <w:rPr/>
        <w:t>Maximum Unit Output = Measured Output x (1+n/100), where</w:t>
      </w:r>
    </w:p>
    <w:p>
      <w:pPr>
        <w:pStyle w:val="Normal"/>
        <w:jc w:val="both"/>
        <w:rPr/>
      </w:pPr>
      <w:r>
        <w:rPr/>
        <w:t>n = number of thermal cycles per year in excess of two.</w:t>
      </w:r>
    </w:p>
    <w:p>
      <w:pPr>
        <w:pStyle w:val="Normal"/>
        <w:jc w:val="both"/>
        <w:rPr/>
      </w:pPr>
      <w:r>
        <w:rPr/>
      </w:r>
    </w:p>
    <w:p>
      <w:pPr>
        <w:pStyle w:val="Normal"/>
        <w:jc w:val="both"/>
        <w:rPr/>
      </w:pPr>
      <w:r>
        <w:rPr/>
        <w:t>Efficiency is only impacted by about 0.3 percentage points, so the correction is:</w:t>
      </w:r>
    </w:p>
    <w:p>
      <w:pPr>
        <w:pStyle w:val="Normal"/>
        <w:jc w:val="both"/>
        <w:rPr/>
      </w:pPr>
      <w:r>
        <w:rPr/>
        <w:t>Efficiency (as percent LHV) = Measured Efficiency + 0.3n, where</w:t>
      </w:r>
    </w:p>
    <w:p>
      <w:pPr>
        <w:pStyle w:val="Normal"/>
        <w:jc w:val="both"/>
        <w:rPr/>
      </w:pPr>
      <w:r>
        <w:rPr/>
        <w:t>n = number of thermal cycles per year in excess of two.</w:t>
      </w:r>
    </w:p>
    <w:p>
      <w:pPr>
        <w:pStyle w:val="Normal"/>
        <w:jc w:val="both"/>
        <w:rPr/>
      </w:pPr>
      <w:r>
        <w:rPr/>
      </w:r>
    </w:p>
    <w:p>
      <w:pPr>
        <w:pStyle w:val="Normal"/>
        <w:jc w:val="both"/>
        <w:rPr/>
      </w:pPr>
      <w:r>
        <w:rPr/>
        <w:t>Beyond thermal cycles, operating plant subsystems outside of their temperature or pressure limits may also impact plant performance in unpredictable ways.  These limits will be specified in the operating manuals for the powerplants.</w:t>
      </w:r>
    </w:p>
    <w:p>
      <w:pPr>
        <w:pStyle w:val="Normal"/>
        <w:jc w:val="both"/>
        <w:rPr/>
      </w:pPr>
      <w:r>
        <w:rPr/>
      </w:r>
    </w:p>
    <w:p>
      <w:pPr>
        <w:pStyle w:val="Normal"/>
        <w:jc w:val="both"/>
        <w:rPr>
          <w:b/>
        </w:rPr>
      </w:pPr>
      <w:r>
        <w:rPr>
          <w:b/>
        </w:rPr>
        <w:t>C.5.6)  Relative Humidity</w:t>
      </w:r>
    </w:p>
    <w:p>
      <w:pPr>
        <w:pStyle w:val="Normal"/>
        <w:jc w:val="both"/>
        <w:rPr/>
      </w:pPr>
      <w:r>
        <w:rPr/>
        <w:t>The effect of humidity on the powerplant performance is very small, so no correction need be used.</w:t>
      </w:r>
    </w:p>
    <w:p>
      <w:pPr>
        <w:pStyle w:val="Normal"/>
        <w:jc w:val="both"/>
        <w:rPr/>
      </w:pPr>
      <w:r>
        <w:rPr/>
      </w:r>
    </w:p>
    <w:p>
      <w:pPr>
        <w:pStyle w:val="Normal"/>
        <w:rPr/>
      </w:pPr>
      <w:r>
        <w:rPr/>
      </w:r>
    </w:p>
    <w:p>
      <w:pPr>
        <w:pStyle w:val="Normal"/>
        <w:jc w:val="both"/>
        <w:rPr/>
      </w:pPr>
      <w:r>
        <w:rPr/>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ucida Console">
    <w:altName w:val="Tahoma"/>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2000-11-19T21:13:00Z</dcterms:created>
  <dc:creator>Anthony Leo</dc:creator>
  <dc:description/>
  <dc:language>en-CA</dc:language>
  <cp:lastModifiedBy>Anthony Leo</cp:lastModifiedBy>
  <dcterms:modified xsi:type="dcterms:W3CDTF">2000-11-19T21:40:00Z</dcterms:modified>
  <cp:revision>11</cp:revision>
  <dc:subject/>
  <dc:title>Exhibit C</dc:title>
</cp:coreProperties>
</file>