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Exhibit C</w:t>
      </w:r>
    </w:p>
    <w:p>
      <w:pPr>
        <w:pStyle w:val="Normal"/>
        <w:jc w:val="center"/>
        <w:rPr>
          <w:b/>
        </w:rPr>
      </w:pPr>
      <w:r>
        <w:rPr>
          <w:b/>
        </w:rPr>
        <w:t>Fixed Specifications</w:t>
      </w:r>
    </w:p>
    <w:p>
      <w:pPr>
        <w:pStyle w:val="Normal"/>
        <w:rPr/>
      </w:pPr>
      <w:r>
        <w:rPr/>
      </w:r>
    </w:p>
    <w:p>
      <w:pPr>
        <w:pStyle w:val="Normal"/>
        <w:rPr/>
      </w:pPr>
      <w:r>
        <w:rPr/>
        <w:t>In addition to the contract guarantee points, the following specifications can be considered fixed with respect to this purchase order.</w:t>
      </w:r>
    </w:p>
    <w:p>
      <w:pPr>
        <w:pStyle w:val="Normal"/>
        <w:rPr/>
      </w:pPr>
      <w:r>
        <w:rPr/>
      </w:r>
    </w:p>
    <w:p>
      <w:pPr>
        <w:pStyle w:val="Normal"/>
        <w:rPr>
          <w:b/>
        </w:rPr>
      </w:pPr>
      <w:r>
        <w:rPr>
          <w:b/>
        </w:rPr>
        <w:t>Exhaust Stack Height:</w:t>
      </w:r>
    </w:p>
    <w:p>
      <w:pPr>
        <w:pStyle w:val="Normal"/>
        <w:rPr/>
      </w:pPr>
      <w:r>
        <w:rPr/>
        <w:t>Each Unit contains an exhaust stack which discharges the powerplant exhaust gas.  The preferred height of this stack will be determined by local regulations and dispersion analyses.  This stack may be any height up to 40 feet without impacting the price of the purchase order</w:t>
      </w:r>
    </w:p>
    <w:p>
      <w:pPr>
        <w:pStyle w:val="Normal"/>
        <w:rPr/>
      </w:pPr>
      <w:r>
        <w:rPr/>
      </w:r>
    </w:p>
    <w:p>
      <w:pPr>
        <w:pStyle w:val="Normal"/>
        <w:rPr/>
      </w:pPr>
      <w:r>
        <w:rPr/>
      </w:r>
    </w:p>
    <w:p>
      <w:pPr>
        <w:pStyle w:val="Normal"/>
        <w:rPr>
          <w:b/>
        </w:rPr>
      </w:pPr>
      <w:r>
        <w:rPr>
          <w:b/>
        </w:rPr>
        <w:t>Hazardous Materials</w:t>
      </w:r>
    </w:p>
    <w:p>
      <w:pPr>
        <w:pStyle w:val="Normal"/>
        <w:rPr/>
      </w:pPr>
      <w:r>
        <w:rPr/>
        <w:t>Anticipated hazardous materials inventory at the site is as follows:</w:t>
      </w:r>
    </w:p>
    <w:tbl>
      <w:tblPr>
        <w:tblW w:w="8659" w:type="dxa"/>
        <w:jc w:val="start"/>
        <w:tblInd w:w="0" w:type="dxa"/>
        <w:tblLayout w:type="fixed"/>
        <w:tblCellMar>
          <w:top w:w="0" w:type="dxa"/>
          <w:start w:w="30" w:type="dxa"/>
          <w:bottom w:w="0" w:type="dxa"/>
          <w:end w:w="30" w:type="dxa"/>
        </w:tblCellMar>
      </w:tblPr>
      <w:tblGrid>
        <w:gridCol w:w="6562"/>
        <w:gridCol w:w="1041"/>
        <w:gridCol w:w="1056"/>
      </w:tblGrid>
      <w:tr>
        <w:trPr>
          <w:trHeight w:val="262" w:hRule="atLeast"/>
        </w:trPr>
        <w:tc>
          <w:tcPr>
            <w:tcW w:w="6562" w:type="dxa"/>
            <w:tcBorders>
              <w:top w:val="single" w:sz="12" w:space="0" w:color="000000"/>
              <w:start w:val="single" w:sz="1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c>
          <w:tcPr>
            <w:tcW w:w="1041" w:type="dxa"/>
            <w:tcBorders>
              <w:top w:val="single" w:sz="12" w:space="0" w:color="000000"/>
              <w:start w:val="single" w:sz="6" w:space="0" w:color="000000"/>
              <w:end w:val="single" w:sz="6" w:space="0" w:color="000000"/>
            </w:tcBorders>
          </w:tcPr>
          <w:p>
            <w:pPr>
              <w:pStyle w:val="Normal"/>
              <w:jc w:val="end"/>
              <w:rPr>
                <w:color w:val="000000"/>
                <w:sz w:val="18"/>
                <w:lang w:eastAsia="en-US"/>
              </w:rPr>
            </w:pPr>
            <w:r>
              <w:rPr>
                <w:color w:val="000000"/>
                <w:sz w:val="18"/>
                <w:lang w:eastAsia="en-US"/>
              </w:rPr>
              <w:t>Normal</w:t>
            </w:r>
          </w:p>
        </w:tc>
        <w:tc>
          <w:tcPr>
            <w:tcW w:w="1056" w:type="dxa"/>
            <w:tcBorders>
              <w:top w:val="single" w:sz="12" w:space="0" w:color="000000"/>
              <w:start w:val="single" w:sz="6" w:space="0" w:color="000000"/>
              <w:end w:val="single" w:sz="12" w:space="0" w:color="000000"/>
            </w:tcBorders>
          </w:tcPr>
          <w:p>
            <w:pPr>
              <w:pStyle w:val="Normal"/>
              <w:jc w:val="end"/>
              <w:rPr>
                <w:color w:val="000000"/>
                <w:sz w:val="18"/>
                <w:lang w:eastAsia="en-US"/>
              </w:rPr>
            </w:pPr>
            <w:r>
              <w:rPr>
                <w:color w:val="000000"/>
                <w:sz w:val="18"/>
                <w:lang w:eastAsia="en-US"/>
              </w:rPr>
              <w:t>Maximum</w:t>
            </w:r>
          </w:p>
        </w:tc>
      </w:tr>
      <w:tr>
        <w:trPr>
          <w:trHeight w:val="262" w:hRule="atLeast"/>
        </w:trPr>
        <w:tc>
          <w:tcPr>
            <w:tcW w:w="6562" w:type="dxa"/>
            <w:tcBorders>
              <w:start w:val="single" w:sz="1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c>
          <w:tcPr>
            <w:tcW w:w="1041" w:type="dxa"/>
            <w:tcBorders>
              <w:start w:val="single" w:sz="6" w:space="0" w:color="000000"/>
              <w:end w:val="single" w:sz="6" w:space="0" w:color="000000"/>
            </w:tcBorders>
          </w:tcPr>
          <w:p>
            <w:pPr>
              <w:pStyle w:val="Normal"/>
              <w:jc w:val="end"/>
              <w:rPr>
                <w:color w:val="000000"/>
                <w:sz w:val="18"/>
                <w:lang w:eastAsia="en-US"/>
              </w:rPr>
            </w:pPr>
            <w:r>
              <w:rPr>
                <w:color w:val="000000"/>
                <w:sz w:val="18"/>
                <w:lang w:eastAsia="en-US"/>
              </w:rPr>
              <w:t>Amount</w:t>
            </w:r>
          </w:p>
        </w:tc>
        <w:tc>
          <w:tcPr>
            <w:tcW w:w="1056" w:type="dxa"/>
            <w:tcBorders>
              <w:start w:val="single" w:sz="6" w:space="0" w:color="000000"/>
              <w:end w:val="single" w:sz="12" w:space="0" w:color="000000"/>
            </w:tcBorders>
          </w:tcPr>
          <w:p>
            <w:pPr>
              <w:pStyle w:val="Normal"/>
              <w:jc w:val="end"/>
              <w:rPr>
                <w:color w:val="000000"/>
                <w:sz w:val="18"/>
                <w:lang w:eastAsia="en-US"/>
              </w:rPr>
            </w:pPr>
            <w:r>
              <w:rPr>
                <w:color w:val="000000"/>
                <w:sz w:val="18"/>
                <w:lang w:eastAsia="en-US"/>
              </w:rPr>
              <w:t>Amount</w:t>
            </w:r>
          </w:p>
        </w:tc>
      </w:tr>
      <w:tr>
        <w:trPr>
          <w:trHeight w:val="274" w:hRule="atLeast"/>
        </w:trPr>
        <w:tc>
          <w:tcPr>
            <w:tcW w:w="6562" w:type="dxa"/>
            <w:tcBorders>
              <w:start w:val="single" w:sz="12" w:space="0" w:color="000000"/>
              <w:bottom w:val="single" w:sz="12" w:space="0" w:color="000000"/>
              <w:end w:val="single" w:sz="6" w:space="0" w:color="000000"/>
            </w:tcBorders>
          </w:tcPr>
          <w:p>
            <w:pPr>
              <w:pStyle w:val="Normal"/>
              <w:rPr>
                <w:color w:val="000000"/>
                <w:sz w:val="18"/>
                <w:lang w:eastAsia="en-US"/>
              </w:rPr>
            </w:pPr>
            <w:r>
              <w:rPr>
                <w:color w:val="000000"/>
                <w:sz w:val="18"/>
                <w:lang w:eastAsia="en-US"/>
              </w:rPr>
              <w:t>Chemical</w:t>
            </w:r>
          </w:p>
        </w:tc>
        <w:tc>
          <w:tcPr>
            <w:tcW w:w="1041" w:type="dxa"/>
            <w:tcBorders>
              <w:start w:val="single" w:sz="6" w:space="0" w:color="000000"/>
              <w:bottom w:val="single" w:sz="12" w:space="0" w:color="000000"/>
              <w:end w:val="single" w:sz="6" w:space="0" w:color="000000"/>
            </w:tcBorders>
          </w:tcPr>
          <w:p>
            <w:pPr>
              <w:pStyle w:val="Normal"/>
              <w:jc w:val="end"/>
              <w:rPr>
                <w:color w:val="000000"/>
                <w:sz w:val="18"/>
                <w:lang w:eastAsia="en-US"/>
              </w:rPr>
            </w:pPr>
            <w:r>
              <w:rPr>
                <w:color w:val="000000"/>
                <w:sz w:val="18"/>
                <w:lang w:eastAsia="en-US"/>
              </w:rPr>
              <w:t>On Site</w:t>
            </w:r>
          </w:p>
        </w:tc>
        <w:tc>
          <w:tcPr>
            <w:tcW w:w="1056" w:type="dxa"/>
            <w:tcBorders>
              <w:start w:val="single" w:sz="6" w:space="0" w:color="000000"/>
              <w:bottom w:val="single" w:sz="12" w:space="0" w:color="000000"/>
              <w:end w:val="single" w:sz="12" w:space="0" w:color="000000"/>
            </w:tcBorders>
          </w:tcPr>
          <w:p>
            <w:pPr>
              <w:pStyle w:val="Normal"/>
              <w:jc w:val="end"/>
              <w:rPr>
                <w:color w:val="000000"/>
                <w:sz w:val="18"/>
                <w:lang w:eastAsia="en-US"/>
              </w:rPr>
            </w:pPr>
            <w:r>
              <w:rPr>
                <w:color w:val="000000"/>
                <w:sz w:val="18"/>
                <w:lang w:eastAsia="en-US"/>
              </w:rPr>
              <w:t>On Site</w:t>
            </w:r>
          </w:p>
        </w:tc>
      </w:tr>
      <w:tr>
        <w:trPr>
          <w:trHeight w:val="262" w:hRule="atLeast"/>
        </w:trPr>
        <w:tc>
          <w:tcPr>
            <w:tcW w:w="6562" w:type="dxa"/>
            <w:tcBorders>
              <w:top w:val="single" w:sz="12" w:space="0" w:color="000000"/>
              <w:start w:val="single" w:sz="12" w:space="0" w:color="000000"/>
              <w:bottom w:val="single" w:sz="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c>
          <w:tcPr>
            <w:tcW w:w="1041" w:type="dxa"/>
            <w:tcBorders>
              <w:top w:val="single" w:sz="12" w:space="0" w:color="000000"/>
              <w:start w:val="single" w:sz="6" w:space="0" w:color="000000"/>
              <w:bottom w:val="single" w:sz="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c>
          <w:tcPr>
            <w:tcW w:w="1056" w:type="dxa"/>
            <w:tcBorders>
              <w:top w:val="single" w:sz="12" w:space="0" w:color="000000"/>
              <w:start w:val="single" w:sz="6" w:space="0" w:color="000000"/>
              <w:bottom w:val="single" w:sz="2" w:space="0" w:color="000000"/>
              <w:end w:val="single" w:sz="12" w:space="0" w:color="000000"/>
            </w:tcBorders>
          </w:tcPr>
          <w:p>
            <w:pPr>
              <w:pStyle w:val="Normal"/>
              <w:snapToGrid w:val="false"/>
              <w:jc w:val="end"/>
              <w:rPr>
                <w:color w:val="000000"/>
                <w:sz w:val="18"/>
                <w:lang w:eastAsia="en-US"/>
              </w:rPr>
            </w:pPr>
            <w:r>
              <w:rPr>
                <w:color w:val="000000"/>
                <w:sz w:val="18"/>
                <w:lang w:eastAsia="en-US"/>
              </w:rPr>
            </w:r>
          </w:p>
        </w:tc>
      </w:tr>
      <w:tr>
        <w:trPr>
          <w:trHeight w:val="262" w:hRule="atLeast"/>
        </w:trPr>
        <w:tc>
          <w:tcPr>
            <w:tcW w:w="6562" w:type="dxa"/>
            <w:tcBorders>
              <w:top w:val="single" w:sz="2" w:space="0" w:color="000000"/>
              <w:start w:val="single" w:sz="12"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Preconverter Catalyst - 20-30% Ni, 30-35% NiO, balance ceramic substrate</w:t>
            </w:r>
          </w:p>
        </w:tc>
        <w:tc>
          <w:tcPr>
            <w:tcW w:w="1041" w:type="dxa"/>
            <w:tcBorders>
              <w:top w:val="single" w:sz="2" w:space="0" w:color="000000"/>
              <w:start w:val="single" w:sz="6" w:space="0" w:color="000000"/>
              <w:bottom w:val="single" w:sz="2" w:space="0" w:color="000000"/>
              <w:end w:val="single" w:sz="6" w:space="0" w:color="000000"/>
            </w:tcBorders>
          </w:tcPr>
          <w:p>
            <w:pPr>
              <w:pStyle w:val="Normal"/>
              <w:jc w:val="end"/>
              <w:rPr>
                <w:color w:val="000000"/>
                <w:sz w:val="18"/>
                <w:lang w:eastAsia="en-US"/>
              </w:rPr>
            </w:pPr>
            <w:r>
              <w:rPr>
                <w:color w:val="000000"/>
                <w:sz w:val="18"/>
                <w:lang w:eastAsia="en-US"/>
              </w:rPr>
              <w:t>250 lbs</w:t>
            </w:r>
          </w:p>
        </w:tc>
        <w:tc>
          <w:tcPr>
            <w:tcW w:w="1056" w:type="dxa"/>
            <w:tcBorders>
              <w:top w:val="single" w:sz="2" w:space="0" w:color="000000"/>
              <w:start w:val="single" w:sz="6" w:space="0" w:color="000000"/>
              <w:bottom w:val="single" w:sz="2" w:space="0" w:color="000000"/>
              <w:end w:val="single" w:sz="12" w:space="0" w:color="000000"/>
            </w:tcBorders>
          </w:tcPr>
          <w:p>
            <w:pPr>
              <w:pStyle w:val="Normal"/>
              <w:jc w:val="end"/>
              <w:rPr>
                <w:color w:val="000000"/>
                <w:sz w:val="18"/>
                <w:lang w:eastAsia="en-US"/>
              </w:rPr>
            </w:pPr>
            <w:r>
              <w:rPr>
                <w:color w:val="000000"/>
                <w:sz w:val="18"/>
                <w:lang w:eastAsia="en-US"/>
              </w:rPr>
              <w:t>500 lbs</w:t>
            </w:r>
          </w:p>
        </w:tc>
      </w:tr>
      <w:tr>
        <w:trPr>
          <w:trHeight w:val="262" w:hRule="atLeast"/>
        </w:trPr>
        <w:tc>
          <w:tcPr>
            <w:tcW w:w="6562" w:type="dxa"/>
            <w:tcBorders>
              <w:top w:val="single" w:sz="2" w:space="0" w:color="000000"/>
              <w:start w:val="single" w:sz="12"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Sulfur Sorbent -  Activated Carbon, may contain up to 25% CuO or KOH</w:t>
            </w:r>
          </w:p>
        </w:tc>
        <w:tc>
          <w:tcPr>
            <w:tcW w:w="1041" w:type="dxa"/>
            <w:tcBorders>
              <w:top w:val="single" w:sz="2" w:space="0" w:color="000000"/>
              <w:start w:val="single" w:sz="6" w:space="0" w:color="000000"/>
              <w:bottom w:val="single" w:sz="2" w:space="0" w:color="000000"/>
              <w:end w:val="single" w:sz="6" w:space="0" w:color="000000"/>
            </w:tcBorders>
          </w:tcPr>
          <w:p>
            <w:pPr>
              <w:pStyle w:val="Normal"/>
              <w:jc w:val="end"/>
              <w:rPr>
                <w:color w:val="000000"/>
                <w:sz w:val="18"/>
                <w:lang w:eastAsia="en-US"/>
              </w:rPr>
            </w:pPr>
            <w:r>
              <w:rPr>
                <w:color w:val="000000"/>
                <w:sz w:val="18"/>
                <w:lang w:eastAsia="en-US"/>
              </w:rPr>
              <w:t>4000 lbs</w:t>
            </w:r>
          </w:p>
        </w:tc>
        <w:tc>
          <w:tcPr>
            <w:tcW w:w="1056" w:type="dxa"/>
            <w:tcBorders>
              <w:top w:val="single" w:sz="2" w:space="0" w:color="000000"/>
              <w:start w:val="single" w:sz="6" w:space="0" w:color="000000"/>
              <w:bottom w:val="single" w:sz="2" w:space="0" w:color="000000"/>
              <w:end w:val="single" w:sz="12" w:space="0" w:color="000000"/>
            </w:tcBorders>
          </w:tcPr>
          <w:p>
            <w:pPr>
              <w:pStyle w:val="Normal"/>
              <w:jc w:val="end"/>
              <w:rPr>
                <w:color w:val="000000"/>
                <w:sz w:val="18"/>
                <w:lang w:eastAsia="en-US"/>
              </w:rPr>
            </w:pPr>
            <w:r>
              <w:rPr>
                <w:color w:val="000000"/>
                <w:sz w:val="18"/>
                <w:lang w:eastAsia="en-US"/>
              </w:rPr>
              <w:t>8000 lbs</w:t>
            </w:r>
          </w:p>
        </w:tc>
      </w:tr>
      <w:tr>
        <w:trPr>
          <w:trHeight w:val="262" w:hRule="atLeast"/>
        </w:trPr>
        <w:tc>
          <w:tcPr>
            <w:tcW w:w="6562" w:type="dxa"/>
            <w:tcBorders>
              <w:top w:val="single" w:sz="2" w:space="0" w:color="000000"/>
              <w:start w:val="single" w:sz="12"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Lubricating Oils</w:t>
            </w:r>
          </w:p>
        </w:tc>
        <w:tc>
          <w:tcPr>
            <w:tcW w:w="1041" w:type="dxa"/>
            <w:tcBorders>
              <w:top w:val="single" w:sz="2" w:space="0" w:color="000000"/>
              <w:start w:val="single" w:sz="6" w:space="0" w:color="000000"/>
              <w:bottom w:val="single" w:sz="2" w:space="0" w:color="000000"/>
              <w:end w:val="single" w:sz="6" w:space="0" w:color="000000"/>
            </w:tcBorders>
          </w:tcPr>
          <w:p>
            <w:pPr>
              <w:pStyle w:val="Normal"/>
              <w:jc w:val="end"/>
              <w:rPr>
                <w:color w:val="000000"/>
                <w:sz w:val="18"/>
                <w:lang w:eastAsia="en-US"/>
              </w:rPr>
            </w:pPr>
            <w:r>
              <w:rPr>
                <w:color w:val="000000"/>
                <w:sz w:val="18"/>
                <w:lang w:eastAsia="en-US"/>
              </w:rPr>
              <w:t>5 gallons</w:t>
            </w:r>
          </w:p>
        </w:tc>
        <w:tc>
          <w:tcPr>
            <w:tcW w:w="1056" w:type="dxa"/>
            <w:tcBorders>
              <w:top w:val="single" w:sz="2" w:space="0" w:color="000000"/>
              <w:start w:val="single" w:sz="6" w:space="0" w:color="000000"/>
              <w:bottom w:val="single" w:sz="2" w:space="0" w:color="000000"/>
              <w:end w:val="single" w:sz="12" w:space="0" w:color="000000"/>
            </w:tcBorders>
          </w:tcPr>
          <w:p>
            <w:pPr>
              <w:pStyle w:val="Normal"/>
              <w:jc w:val="end"/>
              <w:rPr>
                <w:color w:val="000000"/>
                <w:sz w:val="18"/>
                <w:lang w:eastAsia="en-US"/>
              </w:rPr>
            </w:pPr>
            <w:r>
              <w:rPr>
                <w:color w:val="000000"/>
                <w:sz w:val="18"/>
                <w:lang w:eastAsia="en-US"/>
              </w:rPr>
              <w:t>10 gallons</w:t>
            </w:r>
          </w:p>
        </w:tc>
      </w:tr>
      <w:tr>
        <w:trPr>
          <w:trHeight w:val="262" w:hRule="atLeast"/>
        </w:trPr>
        <w:tc>
          <w:tcPr>
            <w:tcW w:w="6562" w:type="dxa"/>
            <w:tcBorders>
              <w:top w:val="single" w:sz="2" w:space="0" w:color="000000"/>
              <w:start w:val="single" w:sz="12"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Misc. Cleaning Chemicals</w:t>
            </w:r>
          </w:p>
        </w:tc>
        <w:tc>
          <w:tcPr>
            <w:tcW w:w="1041" w:type="dxa"/>
            <w:tcBorders>
              <w:top w:val="single" w:sz="2" w:space="0" w:color="000000"/>
              <w:start w:val="single" w:sz="6" w:space="0" w:color="000000"/>
              <w:bottom w:val="single" w:sz="2" w:space="0" w:color="000000"/>
              <w:end w:val="single" w:sz="6" w:space="0" w:color="000000"/>
            </w:tcBorders>
          </w:tcPr>
          <w:p>
            <w:pPr>
              <w:pStyle w:val="Normal"/>
              <w:jc w:val="end"/>
              <w:rPr>
                <w:color w:val="000000"/>
                <w:sz w:val="18"/>
                <w:lang w:eastAsia="en-US"/>
              </w:rPr>
            </w:pPr>
            <w:r>
              <w:rPr>
                <w:color w:val="000000"/>
                <w:sz w:val="18"/>
                <w:lang w:eastAsia="en-US"/>
              </w:rPr>
              <w:t>5 gallons</w:t>
            </w:r>
          </w:p>
        </w:tc>
        <w:tc>
          <w:tcPr>
            <w:tcW w:w="1056" w:type="dxa"/>
            <w:tcBorders>
              <w:top w:val="single" w:sz="2" w:space="0" w:color="000000"/>
              <w:start w:val="single" w:sz="6" w:space="0" w:color="000000"/>
              <w:bottom w:val="single" w:sz="2" w:space="0" w:color="000000"/>
              <w:end w:val="single" w:sz="12" w:space="0" w:color="000000"/>
            </w:tcBorders>
          </w:tcPr>
          <w:p>
            <w:pPr>
              <w:pStyle w:val="Normal"/>
              <w:jc w:val="end"/>
              <w:rPr>
                <w:color w:val="000000"/>
                <w:sz w:val="18"/>
                <w:lang w:eastAsia="en-US"/>
              </w:rPr>
            </w:pPr>
            <w:r>
              <w:rPr>
                <w:color w:val="000000"/>
                <w:sz w:val="18"/>
                <w:lang w:eastAsia="en-US"/>
              </w:rPr>
              <w:t>10 gallons</w:t>
            </w:r>
          </w:p>
        </w:tc>
      </w:tr>
      <w:tr>
        <w:trPr>
          <w:trHeight w:val="274" w:hRule="atLeast"/>
        </w:trPr>
        <w:tc>
          <w:tcPr>
            <w:tcW w:w="6562" w:type="dxa"/>
            <w:tcBorders>
              <w:top w:val="single" w:sz="2" w:space="0" w:color="000000"/>
              <w:start w:val="single" w:sz="12" w:space="0" w:color="000000"/>
              <w:bottom w:val="single" w:sz="1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c>
          <w:tcPr>
            <w:tcW w:w="1041" w:type="dxa"/>
            <w:tcBorders>
              <w:top w:val="single" w:sz="2" w:space="0" w:color="000000"/>
              <w:start w:val="single" w:sz="6" w:space="0" w:color="000000"/>
              <w:bottom w:val="single" w:sz="1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c>
          <w:tcPr>
            <w:tcW w:w="1056" w:type="dxa"/>
            <w:tcBorders>
              <w:top w:val="single" w:sz="2" w:space="0" w:color="000000"/>
              <w:start w:val="single" w:sz="6" w:space="0" w:color="000000"/>
              <w:bottom w:val="single" w:sz="12" w:space="0" w:color="000000"/>
              <w:end w:val="single" w:sz="12" w:space="0" w:color="000000"/>
            </w:tcBorders>
          </w:tcPr>
          <w:p>
            <w:pPr>
              <w:pStyle w:val="Normal"/>
              <w:snapToGrid w:val="false"/>
              <w:jc w:val="end"/>
              <w:rPr>
                <w:color w:val="000000"/>
                <w:sz w:val="18"/>
                <w:lang w:eastAsia="en-US"/>
              </w:rPr>
            </w:pPr>
            <w:r>
              <w:rPr>
                <w:color w:val="000000"/>
                <w:sz w:val="18"/>
                <w:lang w:eastAsia="en-US"/>
              </w:rPr>
            </w:r>
          </w:p>
        </w:tc>
      </w:tr>
    </w:tbl>
    <w:p>
      <w:pPr>
        <w:pStyle w:val="Normal"/>
        <w:rPr/>
      </w:pPr>
      <w:r>
        <w:rPr/>
      </w:r>
    </w:p>
    <w:p>
      <w:pPr>
        <w:pStyle w:val="Normal"/>
        <w:rPr>
          <w:b/>
        </w:rPr>
      </w:pPr>
      <w:r>
        <w:rPr>
          <w:b/>
        </w:rPr>
        <w:t>Type and location of required gas and liquid connections to unit at site</w:t>
      </w:r>
    </w:p>
    <w:p>
      <w:pPr>
        <w:pStyle w:val="Normal"/>
        <w:rPr/>
      </w:pPr>
      <w:r>
        <w:rPr/>
        <w:t>see attached drawing, “Purchaser/Seller Interconnection Summary”.</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2000-11-10T21:27:00Z</dcterms:created>
  <dc:creator>Anthony Leo</dc:creator>
  <dc:description/>
  <dc:language>en-CA</dc:language>
  <cp:lastModifiedBy>Anthony Leo</cp:lastModifiedBy>
  <dcterms:modified xsi:type="dcterms:W3CDTF">2000-11-10T21:35:00Z</dcterms:modified>
  <cp:revision>3</cp:revision>
  <dc:subject/>
  <dc:title>Exhibit C</dc:title>
</cp:coreProperties>
</file>