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rFonts w:ascii="Times New Roman" w:hAnsi="Times New Roman"/>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(this “Guaranty”), dated effective as of </w:t>
      </w:r>
      <w:r>
        <w:rPr>
          <w:rFonts w:ascii="Times New Roman" w:hAnsi="Times New Roman"/>
          <w:b/>
          <w:sz w:val="22"/>
          <w:u w:val="double"/>
        </w:rPr>
        <w:t>March 16</w:t>
      </w:r>
      <w:r>
        <w:rPr>
          <w:rFonts w:ascii="Times New Roman" w:hAnsi="Times New Roman"/>
          <w:sz w:val="22"/>
        </w:rPr>
        <w:t xml:space="preserve">, 2001 (the “Effective Date”),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z w:val="22"/>
        </w:rPr>
        <w:t>Allegheny Energy Supply Company, LLC</w:t>
      </w:r>
      <w:r>
        <w:rPr>
          <w:rFonts w:ascii="Times New Roman" w:hAnsi="Times New Roman"/>
          <w:sz w:val="22"/>
        </w:rPr>
        <w:t xml:space="preserve">, a Delaware limited liability company (“Counterparty”), and ENRON NORTH AMERICA CORP. (“Enron”), a wholly owned subsidiary of Guarantor, are contemplating entering into, or have entered into,    one or more swap, option or other </w:t>
      </w:r>
      <w:r>
        <w:rPr>
          <w:rFonts w:ascii="Times New Roman" w:hAnsi="Times New Roman"/>
          <w:strike/>
          <w:sz w:val="22"/>
        </w:rPr>
        <w:t>financially-settled</w:t>
      </w:r>
      <w:r>
        <w:rPr>
          <w:rFonts w:ascii="Times New Roman" w:hAnsi="Times New Roman"/>
          <w:sz w:val="22"/>
        </w:rPr>
        <w:t xml:space="preserve"> derivative transactions, which transactions will be evidenced by one or more swap agreements, confirmations and/or master agreements, (all such swap, option or other </w:t>
      </w:r>
      <w:r>
        <w:rPr>
          <w:rFonts w:ascii="Times New Roman" w:hAnsi="Times New Roman"/>
          <w:strike/>
          <w:sz w:val="22"/>
        </w:rPr>
        <w:t>financially-settled</w:t>
      </w:r>
      <w:r>
        <w:rPr>
          <w:rFonts w:ascii="Times New Roman" w:hAnsi="Times New Roman"/>
          <w:sz w:val="22"/>
        </w:rPr>
        <w:t xml:space="preserve"> derivative transactions and the agreements evidencing same, whether entered into prior to, on or after the date hereof, as the same may from time to time be modified, amended and supplemented, shall be referred to herein collectively as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trike/>
          <w:sz w:val="22"/>
        </w:rPr>
      </w:pPr>
      <w:r>
        <w:rPr>
          <w:rFonts w:ascii="Times New Roman" w:hAnsi="Times New Roman"/>
          <w:strike/>
          <w:sz w:val="22"/>
        </w:rPr>
        <w:t xml:space="preserve">and </w:t>
      </w:r>
    </w:p>
    <w:p>
      <w:pPr>
        <w:pStyle w:val="Normal"/>
        <w:bidi w:val="0"/>
        <w:spacing w:lineRule="atLeast" w:line="240"/>
        <w:ind w:firstLine="720"/>
        <w:jc w:val="both"/>
        <w:rPr>
          <w:rFonts w:ascii="Times New Roman" w:hAnsi="Times New Roman"/>
          <w:sz w:val="22"/>
        </w:rPr>
      </w:pPr>
      <w:r>
        <w:rPr>
          <w:rFonts w:ascii="Times New Roman" w:hAnsi="Times New Roman"/>
          <w:b/>
          <w:sz w:val="22"/>
          <w:u w:val="double"/>
        </w:rPr>
        <w:t>WHEREAS, Merrill Lynch Capital Services, Inc. (“MLCS”) will be transferring certain derivative transactions which it executed with Enron (the “MLCS Transactions”) to Counterparty pursuant to a Transfer and Assumption Agreement dated on or about the date hereof among MLCS, Merrill Lynch &amp; Co., Inc., Enron, Enron Power Marketing, Inc., and Counterparty, and the obligations of Enron under such MLCS Transactions will be deemed “Obligations” (as defined below) under the Contract upon such transfer; and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Guarantor will directly or indirectly benefit from the transactions </w:t>
      </w:r>
      <w:r>
        <w:rPr>
          <w:rFonts w:ascii="Times New Roman" w:hAnsi="Times New Roman"/>
          <w:b/>
          <w:sz w:val="22"/>
          <w:u w:val="double"/>
        </w:rPr>
        <w:t>that have been and are</w:t>
      </w:r>
      <w:r>
        <w:rPr>
          <w:rFonts w:ascii="Times New Roman" w:hAnsi="Times New Roman"/>
          <w:sz w:val="22"/>
        </w:rPr>
        <w:t xml:space="preserve">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w:t>
      </w:r>
      <w:r>
        <w:rPr>
          <w:rFonts w:ascii="Times New Roman" w:hAnsi="Times New Roman"/>
          <w:b/>
          <w:sz w:val="22"/>
          <w:u w:val="double"/>
        </w:rPr>
        <w:t xml:space="preserve"> This Guaranty is in addition to, and does not limit, any other guaranty.    This Guaranty shall continue to be effective notwithstanding any legal disability of the Debtor to incur the indebtedness or obligation, in whole or in part.</w:t>
      </w:r>
      <w:r>
        <w:rPr>
          <w:rFonts w:ascii="Times New Roman" w:hAnsi="Times New Roman"/>
          <w:sz w:val="22"/>
        </w:rPr>
        <w:t>    The liability of Guarantor under this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r>
        <w:rPr>
          <w:rFonts w:ascii="Times New Roman" w:hAnsi="Times New Roman"/>
          <w:b/>
          <w:u w:val="double"/>
        </w:rPr>
        <w:t xml:space="preserve"> Furthermore, Guarantor shall not be liable to the Guaranteed Party for damages in the form of interest with respect to any payments which may become due hereunder provided that Guarantor makes such payments within 48 hours of a Payment Demand.</w:t>
      </w:r>
    </w:p>
    <w:p>
      <w:pPr>
        <w:pStyle w:val="BodyTextIndent3"/>
        <w:bidi w:val="0"/>
        <w:spacing w:lineRule="exact" w:line="240" w:before="240" w:after="0"/>
        <w:rPr>
          <w:rFonts w:ascii="Times New Roman" w:hAnsi="Times New Roman"/>
        </w:rPr>
      </w:pPr>
      <w:r>
        <w:rPr>
          <w:rFonts w:ascii="Times New Roman" w:hAnsi="Times New Roman"/>
        </w:rPr>
        <w:t>(b)    The aggregate amount covered by this Guaranty shall not exceed U.S. $30,000,000.</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xml:space="preserve">. </w:t>
      </w:r>
      <w:r>
        <w:rPr>
          <w:rFonts w:ascii="Times New Roman" w:hAnsi="Times New Roman"/>
          <w:strike/>
          <w:sz w:val="22"/>
        </w:rPr>
        <w:t>Upon the occurrence and during the continuance of an Event of Default or Termination Event, if</w:t>
      </w:r>
      <w:r>
        <w:rPr>
          <w:rFonts w:ascii="Times New Roman" w:hAnsi="Times New Roman"/>
          <w:sz w:val="22"/>
        </w:rPr>
        <w:t xml:space="preserve"> </w:t>
      </w:r>
      <w:r>
        <w:rPr>
          <w:rFonts w:ascii="Times New Roman" w:hAnsi="Times New Roman"/>
          <w:b/>
          <w:sz w:val="22"/>
          <w:u w:val="double"/>
        </w:rPr>
        <w:t>If</w:t>
      </w:r>
      <w:r>
        <w:rPr>
          <w:rFonts w:ascii="Times New Roman" w:hAnsi="Times New Roman"/>
          <w:sz w:val="22"/>
        </w:rPr>
        <w:t xml:space="preserve"> Enron fails or refuses to pay any Obligations and Counterparty has elected to exercise its rights under this Guaranty, Counterparty shall </w:t>
      </w:r>
      <w:r>
        <w:rPr>
          <w:rFonts w:ascii="Times New Roman" w:hAnsi="Times New Roman"/>
          <w:strike/>
          <w:sz w:val="22"/>
        </w:rPr>
        <w:t>make a demand upon</w:t>
      </w:r>
      <w:r>
        <w:rPr>
          <w:rFonts w:ascii="Times New Roman" w:hAnsi="Times New Roman"/>
          <w:sz w:val="22"/>
        </w:rPr>
        <w:t xml:space="preserve"> </w:t>
      </w:r>
      <w:r>
        <w:rPr>
          <w:rFonts w:ascii="Times New Roman" w:hAnsi="Times New Roman"/>
          <w:b/>
          <w:sz w:val="22"/>
          <w:u w:val="double"/>
        </w:rPr>
        <w:t>notify</w:t>
      </w:r>
      <w:r>
        <w:rPr>
          <w:rFonts w:ascii="Times New Roman" w:hAnsi="Times New Roman"/>
          <w:sz w:val="22"/>
        </w:rPr>
        <w:t xml:space="preserve">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w:t>
      </w:r>
      <w:r>
        <w:rPr>
          <w:rFonts w:ascii="Times New Roman" w:hAnsi="Times New Roman"/>
          <w:strike/>
          <w:sz w:val="22"/>
        </w:rPr>
        <w:t>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w:t>
      </w:r>
      <w:r>
        <w:rPr>
          <w:rFonts w:ascii="Times New Roman" w:hAnsi="Times New Roman"/>
          <w:sz w:val="22"/>
        </w:rPr>
        <w:t>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b/>
          <w:sz w:val="22"/>
          <w:u w:val="double"/>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r>
        <w:rPr>
          <w:rFonts w:ascii="Times New Roman" w:hAnsi="Times New Roman"/>
          <w:strike/>
          <w:sz w:val="22"/>
        </w:rPr>
        <w:t>.</w:t>
      </w:r>
      <w:r>
        <w:rPr>
          <w:rFonts w:ascii="Times New Roman" w:hAnsi="Times New Roman"/>
          <w:b/>
          <w:sz w:val="22"/>
          <w:u w:val="double"/>
        </w:rPr>
        <w:t>;</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b/>
          <w:sz w:val="22"/>
          <w:u w:val="double"/>
        </w:rPr>
        <w:t>(d)    this Guaranty does not contravene the Amended and Restated Articles of Incorporation or by-laws of Guarantor or any law or material (“material” for the purposes of this representation meaning creating a liability of $50,000,000 or more) contractual restriction binding on or effective as to Guarantor.</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xml:space="preserve">. 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w:t>
      </w:r>
      <w:r>
        <w:rPr>
          <w:rFonts w:ascii="Times New Roman" w:hAnsi="Times New Roman"/>
          <w:b/>
          <w:sz w:val="22"/>
          <w:u w:val="double"/>
        </w:rPr>
        <w:t>or expressly waived hereby</w:t>
      </w:r>
      <w:r>
        <w:rPr>
          <w:rFonts w:ascii="Times New Roman" w:hAnsi="Times New Roman"/>
          <w:sz w:val="22"/>
        </w:rPr>
        <w:t xml:space="preserve">.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xml:space="preserve">.    Except as required in Section 2 above, Guarantor hereby waives (a) notice of acceptance of this Guaranty; (b) presentment </w:t>
      </w:r>
      <w:r>
        <w:rPr>
          <w:rFonts w:ascii="Times New Roman" w:hAnsi="Times New Roman"/>
          <w:b/>
          <w:sz w:val="22"/>
          <w:u w:val="double"/>
        </w:rPr>
        <w:t>to</w:t>
      </w:r>
      <w:r>
        <w:rPr>
          <w:rFonts w:ascii="Times New Roman" w:hAnsi="Times New Roman"/>
          <w:sz w:val="22"/>
        </w:rPr>
        <w:t xml:space="preserve"> and demand </w:t>
      </w:r>
      <w:r>
        <w:rPr>
          <w:rFonts w:ascii="Times New Roman" w:hAnsi="Times New Roman"/>
          <w:strike/>
          <w:sz w:val="22"/>
        </w:rPr>
        <w:t>concerning</w:t>
      </w:r>
      <w:r>
        <w:rPr>
          <w:rFonts w:ascii="Times New Roman" w:hAnsi="Times New Roman"/>
          <w:sz w:val="22"/>
        </w:rPr>
        <w:t xml:space="preserve"> </w:t>
      </w:r>
      <w:r>
        <w:rPr>
          <w:rFonts w:ascii="Times New Roman" w:hAnsi="Times New Roman"/>
          <w:b/>
          <w:sz w:val="22"/>
          <w:u w:val="double"/>
        </w:rPr>
        <w:t>for payment with respect to</w:t>
      </w:r>
      <w:r>
        <w:rPr>
          <w:rFonts w:ascii="Times New Roman" w:hAnsi="Times New Roman"/>
          <w:sz w:val="22"/>
        </w:rPr>
        <w:t xml:space="preserve"> the liabilities of Guarantor; and (c) any right to require that any action or proceeding be brought against Enron or any other person, or to require that Counterparty seek enforcement of any performance against Enron or any other person</w:t>
      </w:r>
      <w:r>
        <w:rPr>
          <w:rFonts w:ascii="Times New Roman" w:hAnsi="Times New Roman"/>
          <w:strike/>
          <w:sz w:val="22"/>
        </w:rPr>
        <w:t xml:space="preserve">, prior </w:t>
      </w:r>
      <w:r>
        <w:rPr>
          <w:rFonts w:ascii="Times New Roman" w:hAnsi="Times New Roman"/>
          <w:sz w:val="22"/>
        </w:rPr>
        <w:t xml:space="preserve"> </w:t>
      </w:r>
      <w:r>
        <w:rPr>
          <w:rFonts w:ascii="Times New Roman" w:hAnsi="Times New Roman"/>
          <w:b/>
          <w:sz w:val="22"/>
          <w:u w:val="double"/>
        </w:rPr>
        <w:t>or exhaust any security held by Guaranteed Party for Enron’s account, prior or</w:t>
      </w:r>
      <w:r>
        <w:rPr>
          <w:rFonts w:ascii="Times New Roman" w:hAnsi="Times New Roman"/>
          <w:sz w:val="22"/>
        </w:rPr>
        <w:t xml:space="preserve"> to any action against Guarantor under the terms hereof</w:t>
      </w:r>
      <w:r>
        <w:rPr>
          <w:rFonts w:ascii="Times New Roman" w:hAnsi="Times New Roman"/>
          <w:b/>
          <w:sz w:val="22"/>
          <w:u w:val="double"/>
        </w:rPr>
        <w:t>; and (d) all other notices whatsoever.    In the event of default by Enron under the Contract, the Guaranteed Party shall have the exclusive right to determine how, when, and what application of payments, set offs and credits, shall be made under the Contract</w:t>
      </w:r>
      <w:r>
        <w:rPr>
          <w:rFonts w:ascii="Times New Roman" w:hAnsi="Times New Roman"/>
          <w:sz w:val="22"/>
        </w:rPr>
        <w: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Except as to applicable statutes of limitation, no </w:t>
      </w:r>
      <w:r>
        <w:rPr>
          <w:rFonts w:ascii="Times New Roman" w:hAnsi="Times New Roman"/>
          <w:b/>
          <w:sz w:val="22"/>
          <w:u w:val="double"/>
        </w:rPr>
        <w:t>failure or</w:t>
      </w:r>
      <w:r>
        <w:rPr>
          <w:rFonts w:ascii="Times New Roman" w:hAnsi="Times New Roman"/>
          <w:sz w:val="22"/>
        </w:rPr>
        <w:t xml:space="preserve"> delay of Counterparty in the exercise of, or failure to exercise, any rights </w:t>
      </w:r>
      <w:r>
        <w:rPr>
          <w:rFonts w:ascii="Times New Roman" w:hAnsi="Times New Roman"/>
          <w:b/>
          <w:sz w:val="22"/>
          <w:u w:val="double"/>
        </w:rPr>
        <w:t>or remedies</w:t>
      </w:r>
      <w:r>
        <w:rPr>
          <w:rFonts w:ascii="Times New Roman" w:hAnsi="Times New Roman"/>
          <w:sz w:val="22"/>
        </w:rPr>
        <w:t xml:space="preserve"> hereunder shall operate as a waiver of such rights, a waiver of any other rights or a release of Guarantor from any obligations hereunder</w:t>
      </w:r>
      <w:r>
        <w:rPr>
          <w:rFonts w:ascii="Times New Roman" w:hAnsi="Times New Roman"/>
          <w:b/>
          <w:sz w:val="22"/>
          <w:u w:val="double"/>
        </w:rPr>
        <w:t>, nor shall any single or partial exercise of any right or remedy hereunder preclude any other or further exercise thereof or the exercise of any right or remedy.    The rights and remedies herein provided are cumulative and not exclusive of any right or remedy by law.    Should any one or more provisions of this Guaranty be determined to be illegal or unenforceable, such provision(s) shall be deleted from this Guaranty and all other provisions shall, nevertheless, remain effective</w:t>
      </w:r>
      <w:r>
        <w:rPr>
          <w:rFonts w:ascii="Times New Roman" w:hAnsi="Times New Roman"/>
          <w:sz w:val="22"/>
        </w:rPr>
        <w: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b/>
          <w:sz w:val="22"/>
          <w:u w:val="double"/>
        </w:rPr>
      </w:pPr>
      <w:r>
        <w:rPr>
          <w:rFonts w:ascii="Times New Roman" w:hAnsi="Times New Roman"/>
          <w:sz w:val="22"/>
        </w:rPr>
        <w:t xml:space="preserve">Guarantor consents to the renewal, compromise, extension, acceleration or other changes in the time of payment of or other changes in the terms of the Obligations, or any part thereof or any changes or modifications to the terms of the Contract </w:t>
      </w:r>
      <w:r>
        <w:rPr>
          <w:rFonts w:ascii="Times New Roman" w:hAnsi="Times New Roman"/>
          <w:b/>
          <w:sz w:val="22"/>
          <w:u w:val="double"/>
        </w:rPr>
        <w:t>and any such actions shall not affect Guarantor’s liability hereunder in any manner as long as this Guaranty is in force.</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strike/>
          <w:sz w:val="22"/>
        </w:rPr>
      </w:pPr>
      <w:r>
        <w:rPr>
          <w:rFonts w:ascii="Times New Roman" w:hAnsi="Times New Roman"/>
          <w:b/>
          <w:sz w:val="22"/>
          <w:u w:val="double"/>
        </w:rPr>
        <w:t>Liability under this Guaranty shall commence as of the Effective Date.    This Guaranty is a continuing guaranty, without limitation as to duration, which shall remain in full force and effect so long as the Contract is in existence, provided, however, that</w:t>
      </w:r>
      <w:r>
        <w:rPr>
          <w:rFonts w:ascii="Times New Roman" w:hAnsi="Times New Roman"/>
          <w:strike/>
          <w:sz w:val="22"/>
        </w:rPr>
        <w:t>.</w:t>
      </w:r>
    </w:p>
    <w:p>
      <w:pPr>
        <w:pStyle w:val="Normal"/>
        <w:bidi w:val="0"/>
        <w:spacing w:lineRule="atLeast" w:line="240"/>
        <w:ind w:firstLine="720"/>
        <w:jc w:val="both"/>
        <w:rPr>
          <w:rFonts w:ascii="Times New Roman" w:hAnsi="Times New Roman"/>
          <w:strike/>
          <w:sz w:val="22"/>
        </w:rPr>
      </w:pPr>
      <w:r>
        <w:rPr>
          <w:rFonts w:ascii="Times New Roman" w:hAnsi="Times New Roman"/>
          <w:strike/>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 </w:t>
      </w:r>
      <w:r>
        <w:rPr>
          <w:rFonts w:ascii="Times New Roman" w:hAnsi="Times New Roman"/>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r>
        <w:rPr>
          <w:rFonts w:ascii="Times New Roman" w:hAnsi="Times New Roman"/>
          <w:strike/>
          <w:sz w:val="22"/>
        </w:rPr>
        <w:t>five (5)</w:t>
      </w:r>
      <w:r>
        <w:rPr>
          <w:rFonts w:ascii="Times New Roman" w:hAnsi="Times New Roman"/>
          <w:sz w:val="22"/>
        </w:rPr>
        <w:t xml:space="preserve"> </w:t>
      </w:r>
      <w:r>
        <w:rPr>
          <w:rFonts w:ascii="Times New Roman" w:hAnsi="Times New Roman"/>
          <w:b/>
          <w:sz w:val="22"/>
          <w:u w:val="double"/>
        </w:rPr>
        <w:t>fifteen (15)</w:t>
      </w:r>
      <w:r>
        <w:rPr>
          <w:rFonts w:ascii="Times New Roman" w:hAnsi="Times New Roman"/>
          <w:sz w:val="22"/>
        </w:rPr>
        <w:t xml:space="preserve"> Business Days after receipt by Counterparty of such termination notice.    No such termination shall affect Guarantor's liability with respect to any </w:t>
      </w:r>
      <w:r>
        <w:rPr>
          <w:rFonts w:ascii="Times New Roman" w:hAnsi="Times New Roman"/>
          <w:strike/>
          <w:sz w:val="22"/>
        </w:rPr>
        <w:t>Transaction (as defined in the Contract) entered into</w:t>
      </w:r>
      <w:r>
        <w:rPr>
          <w:rFonts w:ascii="Times New Roman" w:hAnsi="Times New Roman"/>
          <w:sz w:val="22"/>
        </w:rPr>
        <w:t xml:space="preserve"> </w:t>
      </w:r>
      <w:r>
        <w:rPr>
          <w:rFonts w:ascii="Times New Roman" w:hAnsi="Times New Roman"/>
          <w:b/>
          <w:sz w:val="22"/>
          <w:u w:val="double"/>
        </w:rPr>
        <w:t>Obligations created or incurred</w:t>
      </w:r>
      <w:r>
        <w:rPr>
          <w:rFonts w:ascii="Times New Roman" w:hAnsi="Times New Roman"/>
          <w:sz w:val="22"/>
        </w:rPr>
        <w:t xml:space="preserve"> prior to the time the termination is effective, which </w:t>
      </w:r>
      <w:r>
        <w:rPr>
          <w:rFonts w:ascii="Times New Roman" w:hAnsi="Times New Roman"/>
          <w:strike/>
          <w:sz w:val="22"/>
        </w:rPr>
        <w:t>Transaction</w:t>
      </w:r>
      <w:r>
        <w:rPr>
          <w:rFonts w:ascii="Times New Roman" w:hAnsi="Times New Roman"/>
          <w:sz w:val="22"/>
        </w:rPr>
        <w:t xml:space="preserve"> </w:t>
      </w:r>
      <w:r>
        <w:rPr>
          <w:rFonts w:ascii="Times New Roman" w:hAnsi="Times New Roman"/>
          <w:b/>
          <w:sz w:val="22"/>
          <w:u w:val="double"/>
        </w:rPr>
        <w:t>Obligations</w:t>
      </w:r>
      <w:r>
        <w:rPr>
          <w:rFonts w:ascii="Times New Roman" w:hAnsi="Times New Roman"/>
          <w:sz w:val="22"/>
        </w:rPr>
        <w:t xml:space="preserve"> shall remain guaranteed pursuant to the terms of this Guaranty.    </w:t>
      </w:r>
      <w:r>
        <w:rPr>
          <w:rFonts w:ascii="Times New Roman" w:hAnsi="Times New Roman"/>
          <w:b/>
          <w:sz w:val="22"/>
          <w:u w:val="double"/>
        </w:rPr>
        <w:t>If at any time any payment under the Contract is rescinded or must be otherwise restored or returned by the Guaranteed Party upon the insolvency, bankruptcy or reorganization of Enron or otherwise, Guarantor’s obligation hereunder with respect to such payment shall be reinstated upon such restoration or return being made by Guaranteed Party, without regard to whether this Guaranty has otherwise terminated.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509"/>
        <w:gridCol w:w="1890"/>
        <w:gridCol w:w="288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sz w:val="22"/>
              </w:rPr>
              <w:t>To Counterparty:</w:t>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Allegheny Energy Supply Company, LLC</w:t>
            </w:r>
          </w:p>
        </w:tc>
        <w:tc>
          <w:tcPr>
            <w:tcW w:w="1890"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Enron Corp.</w:t>
            </w:r>
          </w:p>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1400 Smith Street</w:t>
            </w:r>
          </w:p>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Houston, Texas 77002</w:t>
            </w:r>
          </w:p>
          <w:p>
            <w:pPr>
              <w:pStyle w:val="BodyText"/>
              <w:keepNext w:val="true"/>
              <w:tabs>
                <w:tab w:val="clear" w:pos="720"/>
                <w:tab w:val="right" w:pos="2988" w:leader="none"/>
              </w:tabs>
              <w:bidi w:val="0"/>
              <w:spacing w:lineRule="atLeast" w:line="240"/>
              <w:jc w:val="start"/>
              <w:rPr>
                <w:rFonts w:ascii="Times New Roman" w:hAnsi="Times New Roman"/>
              </w:rPr>
            </w:pPr>
            <w:r>
              <w:rPr>
                <w:rFonts w:ascii="Times New Roman" w:hAnsi="Times New Roman"/>
              </w:rPr>
              <w:t>Attn.:    Vice President, Finance and Treasurer</w:t>
            </w:r>
          </w:p>
          <w:p>
            <w:pPr>
              <w:pStyle w:val="Normal"/>
              <w:keepNext w:val="true"/>
              <w:tabs>
                <w:tab w:val="clear" w:pos="720"/>
                <w:tab w:val="right" w:pos="2988" w:leader="none"/>
              </w:tabs>
              <w:bidi w:val="0"/>
              <w:spacing w:lineRule="atLeast" w:line="240"/>
              <w:jc w:val="start"/>
              <w:rPr/>
            </w:pPr>
            <w:r>
              <w:rPr>
                <w:rFonts w:ascii="Times New Roman" w:hAnsi="Times New Roman"/>
                <w:sz w:val="22"/>
              </w:rPr>
              <w:t>Fax No.:    (713) 646-3422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Roseytown Road</w:t>
            </w:r>
          </w:p>
        </w:tc>
        <w:tc>
          <w:tcPr>
            <w:tcW w:w="189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509" w:type="dxa"/>
            <w:tcBorders/>
          </w:tcPr>
          <w:p>
            <w:pPr>
              <w:pStyle w:val="Normal"/>
              <w:keepNext w:val="true"/>
              <w:tabs>
                <w:tab w:val="clear" w:pos="720"/>
                <w:tab w:val="left" w:pos="3132" w:leader="none"/>
              </w:tabs>
              <w:bidi w:val="0"/>
              <w:spacing w:lineRule="atLeast" w:line="240"/>
              <w:jc w:val="start"/>
              <w:rPr>
                <w:rFonts w:ascii="Times New Roman" w:hAnsi="Times New Roman"/>
                <w:sz w:val="22"/>
              </w:rPr>
            </w:pPr>
            <w:r>
              <w:rPr>
                <w:rFonts w:ascii="Times New Roman" w:hAnsi="Times New Roman"/>
                <w:sz w:val="22"/>
              </w:rPr>
              <w:t>RR12, Box 1000</w:t>
            </w:r>
          </w:p>
          <w:p>
            <w:pPr>
              <w:pStyle w:val="Normal"/>
              <w:keepNext w:val="true"/>
              <w:tabs>
                <w:tab w:val="clear" w:pos="720"/>
                <w:tab w:val="left" w:pos="3132" w:leader="none"/>
              </w:tabs>
              <w:bidi w:val="0"/>
              <w:spacing w:lineRule="atLeast" w:line="240"/>
              <w:jc w:val="start"/>
              <w:rPr/>
            </w:pPr>
            <w:r>
              <w:rPr>
                <w:rFonts w:ascii="Times New Roman" w:hAnsi="Times New Roman"/>
                <w:sz w:val="22"/>
              </w:rPr>
              <w:t>Greensburg, PA 15601</w:t>
            </w:r>
          </w:p>
        </w:tc>
        <w:tc>
          <w:tcPr>
            <w:tcW w:w="189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 xml:space="preserve">Attn.: </w:t>
            </w:r>
            <w:r>
              <w:rPr>
                <w:rFonts w:ascii="Times New Roman" w:hAnsi="Times New Roman"/>
                <w:b/>
                <w:sz w:val="22"/>
                <w:u w:val="double"/>
              </w:rPr>
              <w:t>Treasury Department</w:t>
            </w:r>
          </w:p>
        </w:tc>
        <w:tc>
          <w:tcPr>
            <w:tcW w:w="189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 xml:space="preserve">Fax No.:    </w:t>
            </w:r>
            <w:r>
              <w:rPr>
                <w:rFonts w:ascii="Times New Roman" w:hAnsi="Times New Roman"/>
                <w:b/>
                <w:sz w:val="22"/>
                <w:u w:val="double"/>
              </w:rPr>
              <w:t>724-853-3784</w:t>
            </w:r>
          </w:p>
        </w:tc>
        <w:tc>
          <w:tcPr>
            <w:tcW w:w="189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xml:space="preserve">.    This Guaranty shall in all respects be governed by, and construed in accordance with, the law of the State of </w:t>
      </w:r>
      <w:r>
        <w:rPr>
          <w:rFonts w:ascii="Times New Roman" w:hAnsi="Times New Roman"/>
          <w:strike/>
          <w:sz w:val="22"/>
        </w:rPr>
        <w:t>Texas, without regard</w:t>
      </w:r>
      <w:r>
        <w:rPr>
          <w:rFonts w:ascii="Times New Roman" w:hAnsi="Times New Roman"/>
          <w:sz w:val="22"/>
        </w:rPr>
        <w:t xml:space="preserve"> </w:t>
      </w:r>
      <w:r>
        <w:rPr>
          <w:rFonts w:ascii="Times New Roman" w:hAnsi="Times New Roman"/>
          <w:b/>
          <w:sz w:val="22"/>
          <w:u w:val="double"/>
        </w:rPr>
        <w:t>New York, and with respect</w:t>
      </w:r>
      <w:r>
        <w:rPr>
          <w:rFonts w:ascii="Times New Roman" w:hAnsi="Times New Roman"/>
          <w:sz w:val="22"/>
        </w:rPr>
        <w:t xml:space="preserve"> to principles of conflicts of </w:t>
      </w:r>
      <w:r>
        <w:rPr>
          <w:rFonts w:ascii="Times New Roman" w:hAnsi="Times New Roman"/>
          <w:strike/>
          <w:sz w:val="22"/>
        </w:rPr>
        <w:t>laws</w:t>
      </w:r>
      <w:r>
        <w:rPr>
          <w:rFonts w:ascii="Times New Roman" w:hAnsi="Times New Roman"/>
          <w:sz w:val="22"/>
        </w:rPr>
        <w:t xml:space="preserve"> </w:t>
      </w:r>
      <w:r>
        <w:rPr>
          <w:rFonts w:ascii="Times New Roman" w:hAnsi="Times New Roman"/>
          <w:b/>
          <w:sz w:val="22"/>
          <w:u w:val="double"/>
        </w:rPr>
        <w:t>law, in accordance with Section 5-1401 of the New York General Obligations Law</w:t>
      </w:r>
      <w:r>
        <w:rPr>
          <w:rFonts w:ascii="Times New Roman" w:hAnsi="Times New Roman"/>
          <w:sz w:val="22"/>
        </w:rPr>
        <w:t>. 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BodyTextIndent"/>
        <w:bidi w:val="0"/>
        <w:spacing w:lineRule="atLeast" w:line="240"/>
        <w:rPr>
          <w:rFonts w:ascii="Times New Roman" w:hAnsi="Times New Roman"/>
        </w:rPr>
      </w:pPr>
      <w:r>
        <w:rPr>
          <w:rFonts w:ascii="Times New Roman" w:hAnsi="Times New Roman"/>
        </w:rPr>
        <w:t xml:space="preserve">IN WITNESS WHEREOF, the Guarantor has executed this Guaranty on </w:t>
      </w:r>
      <w:r>
        <w:rPr>
          <w:rFonts w:ascii="Times New Roman" w:hAnsi="Times New Roman"/>
          <w:b/>
          <w:u w:val="double"/>
        </w:rPr>
        <w:t>March 16</w:t>
      </w:r>
      <w:r>
        <w:rPr>
          <w:rFonts w:ascii="Times New Roman" w:hAnsi="Times New Roman"/>
        </w:rPr>
        <w:t>, 2001, but it is effective as of the Effective Date.</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u w:val="single"/>
        </w:rPr>
      </w:pPr>
      <w:r>
        <w:rPr>
          <w:rFonts w:ascii="Times New Roman" w:hAnsi="Times New Roman"/>
          <w:sz w:val="22"/>
        </w:rPr>
        <w:t xml:space="preserve">By: 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sz w:val="22"/>
          <w:u w:val="single"/>
        </w:rPr>
      </w:pPr>
      <w:r>
        <w:rPr>
          <w:rFonts w:ascii="Times New Roman" w:hAnsi="Times New Roman"/>
          <w:sz w:val="22"/>
        </w:rPr>
        <w:t xml:space="preserve">Name: 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r>
    </w:p>
    <w:p>
      <w:pPr>
        <w:pStyle w:val="Normal"/>
        <w:bidi w:val="0"/>
        <w:jc w:val="start"/>
        <w:rPr>
          <w:rFonts w:ascii="Times New Roman" w:hAnsi="Times New Roman"/>
          <w:sz w:val="22"/>
        </w:rPr>
      </w:pPr>
      <w:r>
        <w:rPr>
          <w:rFonts w:ascii="Times New Roman" w:hAnsi="Times New Roman"/>
          <w:sz w:val="22"/>
        </w:rPr>
        <mc:AlternateContent>
          <mc:Choice Requires="wps">
            <w:drawing>
              <wp:anchor behindDoc="0" distT="0" distB="0" distL="0" distR="0" simplePos="0" locked="0" layoutInCell="0" allowOverlap="1" relativeHeight="2">
                <wp:simplePos x="0" y="0"/>
                <wp:positionH relativeFrom="column">
                  <wp:posOffset>-1280160</wp:posOffset>
                </wp:positionH>
                <wp:positionV relativeFrom="paragraph">
                  <wp:posOffset>-301625</wp:posOffset>
                </wp:positionV>
                <wp:extent cx="0" cy="91440"/>
                <wp:effectExtent l="635" t="635" r="635" b="635"/>
                <wp:wrapSquare wrapText="bothSides"/>
                <wp:docPr id="1" name="Shape1"/>
                <a:graphic xmlns:a="http://schemas.openxmlformats.org/drawingml/2006/main">
                  <a:graphicData uri="http://schemas.microsoft.com/office/word/2010/wordprocessingShape">
                    <wps:wsp>
                      <wps:cNvSpPr/>
                      <wps:spPr>
                        <a:xfrm>
                          <a:off x="0" y="0"/>
                          <a:ext cx="0" cy="91440"/>
                        </a:xfrm>
                        <a:prstGeom prst="line">
                          <a:avLst/>
                        </a:prstGeom>
                        <a:ln w="0">
                          <a:solidFill>
                            <a:srgbClr val="ffffff"/>
                          </a:solidFill>
                        </a:ln>
                      </wps:spPr>
                      <wps:style>
                        <a:lnRef idx="0"/>
                        <a:fillRef idx="0"/>
                        <a:effectRef idx="0"/>
                        <a:fontRef idx="minor"/>
                      </wps:style>
                      <wps:bodyPr/>
                    </wps:wsp>
                  </a:graphicData>
                </a:graphic>
              </wp:anchor>
            </w:drawing>
          </mc:Choice>
          <mc:Fallback>
            <w:pict>
              <v:line id="shape_0" from="-100.8pt,-23.75pt" to="-100.8pt,-16.6pt" ID="Shape1" stroked="t" o:allowincell="f" style="position:absolute">
                <v:stroke color="white" joinstyle="round" endcap="flat"/>
                <v:fill o:detectmouseclick="t" on="false"/>
                <w10:wrap type="square"/>
              </v:line>
            </w:pict>
          </mc:Fallback>
        </mc:AlternateConten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COMPARISON OF FOOTERS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-FOOTER 1-</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-FOOTER 2-</w:t>
      </w:r>
    </w:p>
    <w:p>
      <w:pPr>
        <w:pStyle w:val="Normal"/>
        <w:bidi w:val="0"/>
        <w:jc w:val="start"/>
        <w:rPr>
          <w:rFonts w:ascii="Times New Roman" w:hAnsi="Times New Roman"/>
          <w:sz w:val="22"/>
        </w:rPr>
      </w:pPr>
      <w:r>
        <w:rPr>
          <w:rFonts w:ascii="Times New Roman" w:hAnsi="Times New Roman"/>
          <w:b/>
          <w:sz w:val="22"/>
          <w:u w:val="double"/>
        </w:rPr>
        <w:t>-1-</w:t>
      </w:r>
    </w:p>
    <w:p>
      <w:pPr>
        <w:pStyle w:val="Normal"/>
        <w:bidi w:val="0"/>
        <w:jc w:val="start"/>
        <w:rPr>
          <w:rFonts w:ascii="Times New Roman" w:hAnsi="Times New Roman"/>
          <w:sz w:val="22"/>
        </w:rPr>
      </w:pPr>
      <w:r>
        <w:rPr>
          <w:rFonts w:ascii="Times New Roman" w:hAnsi="Times New Roman"/>
          <w:sz w:val="22"/>
        </w:rPr>
        <w:t xml:space="preserve">125LAN33: </w:t>
      </w:r>
      <w:r>
        <w:rPr>
          <w:rFonts w:ascii="Times New Roman" w:hAnsi="Times New Roman"/>
          <w:strike/>
          <w:sz w:val="22"/>
        </w:rPr>
        <w:t>133266.1</w:t>
      </w:r>
      <w:r>
        <w:rPr>
          <w:rFonts w:ascii="Times New Roman" w:hAnsi="Times New Roman"/>
          <w:sz w:val="22"/>
        </w:rPr>
        <w:t xml:space="preserve"> </w:t>
      </w:r>
      <w:r>
        <w:rPr>
          <w:rFonts w:ascii="Times New Roman" w:hAnsi="Times New Roman"/>
          <w:b/>
          <w:sz w:val="22"/>
          <w:u w:val="double"/>
        </w:rPr>
        <w:t>133266.2</w:t>
      </w:r>
    </w:p>
    <w:p>
      <w:pPr>
        <w:pStyle w:val="Normal"/>
        <w:bidi w:val="0"/>
        <w:jc w:val="start"/>
        <w:rPr>
          <w:rFonts w:ascii="Times New Roman" w:hAnsi="Times New Roman"/>
          <w:sz w:val="22"/>
        </w:rPr>
      </w:pPr>
      <w:r>
        <w:rPr>
          <w:rFonts w:ascii="Times New Roman" w:hAnsi="Times New Roman"/>
          <w:sz w:val="22"/>
        </w:rPr>
        <w:t>E</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This redlined draft, generated by CompareRite (TM) - The Instant Redliner, shows the differences between - </w:t>
      </w:r>
    </w:p>
    <w:p>
      <w:pPr>
        <w:pStyle w:val="Normal"/>
        <w:bidi w:val="0"/>
        <w:jc w:val="start"/>
        <w:rPr>
          <w:rFonts w:ascii="Times New Roman" w:hAnsi="Times New Roman"/>
          <w:sz w:val="22"/>
        </w:rPr>
      </w:pPr>
      <w:r>
        <w:rPr>
          <w:rFonts w:ascii="Times New Roman" w:hAnsi="Times New Roman"/>
          <w:sz w:val="22"/>
        </w:rPr>
        <w:t>original document      : G:\DOCS\NY12533\TEIGLAND\2%T%01!.DOC</w:t>
      </w:r>
    </w:p>
    <w:p>
      <w:pPr>
        <w:pStyle w:val="Normal"/>
        <w:bidi w:val="0"/>
        <w:jc w:val="start"/>
        <w:rPr>
          <w:rFonts w:ascii="Times New Roman" w:hAnsi="Times New Roman"/>
          <w:sz w:val="22"/>
        </w:rPr>
      </w:pPr>
      <w:r>
        <w:rPr>
          <w:rFonts w:ascii="Times New Roman" w:hAnsi="Times New Roman"/>
          <w:sz w:val="22"/>
        </w:rPr>
        <w:t>and revised document: G:\DOCS\NY12533\TEIGLAND\2%T%02!.DOC</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CompareRite found      29 change(s) in the text</w:t>
      </w:r>
    </w:p>
    <w:p>
      <w:pPr>
        <w:pStyle w:val="Normal"/>
        <w:bidi w:val="0"/>
        <w:jc w:val="start"/>
        <w:rPr>
          <w:rFonts w:ascii="Times New Roman" w:hAnsi="Times New Roman"/>
          <w:sz w:val="22"/>
        </w:rPr>
      </w:pPr>
      <w:r>
        <w:rPr>
          <w:rFonts w:ascii="Times New Roman" w:hAnsi="Times New Roman"/>
          <w:sz w:val="22"/>
        </w:rPr>
        <w:t>CompareRite found        2 change(s) in the notes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Deletions appear as Overstrike text </w:t>
      </w:r>
    </w:p>
    <w:p>
      <w:pPr>
        <w:pStyle w:val="Normal"/>
        <w:bidi w:val="0"/>
        <w:jc w:val="start"/>
        <w:rPr>
          <w:rFonts w:ascii="Times New Roman" w:hAnsi="Times New Roman"/>
          <w:sz w:val="22"/>
        </w:rPr>
      </w:pPr>
      <w:r>
        <w:rPr>
          <w:rFonts w:ascii="Times New Roman" w:hAnsi="Times New Roman"/>
          <w:sz w:val="22"/>
        </w:rPr>
        <w:t xml:space="preserve">Additions appear as Bold+Dbl Underline text </w:t>
      </w:r>
    </w:p>
    <w:sectPr>
      <w:footerReference w:type="even" r:id="rId2"/>
      <w:footerReference w:type="default" r:id="rId3"/>
      <w:footerReference w:type="first" r:id="rId4"/>
      <w:type w:val="nextPage"/>
      <w:pgSz w:w="12240" w:h="15840"/>
      <w:pgMar w:left="2160" w:right="1440" w:gutter="0" w:header="0" w:top="1915" w:footer="720" w:bottom="9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t>125LAN33:133266.2</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274955" cy="172720"/>
              <wp:effectExtent l="0" t="0" r="0" b="0"/>
              <wp:wrapTopAndBottom/>
              <wp:docPr id="3" name="Frame2"/>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wps:txbx>
                    <wps:bodyPr anchor="t" lIns="0" tIns="0" rIns="0" bIns="0">
                      <a:sp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t>125LAN33:133266.2</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274955" cy="172720"/>
              <wp:effectExtent l="0" t="0" r="0" b="0"/>
              <wp:wrapTopAndBottom/>
              <wp:docPr id="4" name="Frame2"/>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wps:txbx>
                    <wps:bodyPr anchor="t" lIns="0" tIns="0" rIns="0" bIns="0">
                      <a:sp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New" w:hAnsi="Courier New" w:eastAsia="Arial" w:cs="Courier New"/>
      <w:color w:val="auto"/>
      <w:kern w:val="2"/>
      <w:sz w:val="24"/>
      <w:szCs w:val="24"/>
      <w:lang w:val="en-CA" w:eastAsia="zh-CN" w:bidi="hi-IN"/>
    </w:rPr>
  </w:style>
  <w:style w:type="paragraph" w:styleId="Heading1">
    <w:name w:val="heading 1"/>
    <w:basedOn w:val="Normal"/>
    <w:next w:val="Normal"/>
    <w:qFormat/>
    <w:pPr>
      <w:keepNext w:val="true"/>
      <w:spacing w:before="240" w:after="60"/>
    </w:pPr>
    <w:rPr>
      <w:rFonts w:ascii="Courier" w:hAnsi="Courier"/>
      <w:b/>
      <w:kern w:val="2"/>
      <w:sz w:val="28"/>
    </w:rPr>
  </w:style>
  <w:style w:type="paragraph" w:styleId="Heading2">
    <w:name w:val="heading 2"/>
    <w:basedOn w:val="Normal"/>
    <w:next w:val="Normal"/>
    <w:qFormat/>
    <w:pPr>
      <w:keepNext w:val="true"/>
      <w:spacing w:before="240" w:after="60"/>
    </w:pPr>
    <w:rPr>
      <w:rFonts w:ascii="Courier New" w:hAnsi="Courier New"/>
      <w:b/>
      <w:i/>
    </w:rPr>
  </w:style>
  <w:style w:type="paragraph" w:styleId="Heading3">
    <w:name w:val="heading 3"/>
    <w:basedOn w:val="Normal"/>
    <w:next w:val="Normal"/>
    <w:qFormat/>
    <w:pPr>
      <w:keepNext w:val="true"/>
      <w:spacing w:before="240" w:after="60"/>
    </w:pPr>
    <w:rPr>
      <w:rFonts w:ascii="Courier New" w:hAnsi="Courier New"/>
      <w:b/>
    </w:rPr>
  </w:style>
  <w:style w:type="paragraph" w:styleId="Heading4">
    <w:name w:val="heading 4"/>
    <w:basedOn w:val="Normal"/>
    <w:next w:val="Normal"/>
    <w:qFormat/>
    <w:pPr>
      <w:keepNext w:val="true"/>
      <w:spacing w:before="240" w:after="60"/>
    </w:pPr>
    <w:rPr>
      <w:rFonts w:ascii="Courier New" w:hAnsi="Courier New"/>
      <w:u w:val="single"/>
    </w:rPr>
  </w:style>
  <w:style w:type="paragraph" w:styleId="Heading5">
    <w:name w:val="heading 5"/>
    <w:basedOn w:val="Normal"/>
    <w:next w:val="Normal"/>
    <w:qFormat/>
    <w:pPr>
      <w:spacing w:before="240" w:after="60"/>
    </w:pPr>
    <w:rPr>
      <w:rFonts w:ascii="Courier New" w:hAnsi="Courier New"/>
      <w:sz w:val="22"/>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pPr>
    <w:rPr>
      <w:smallCaps/>
      <w:sz w:val="20"/>
    </w:rPr>
  </w:style>
  <w:style w:type="paragraph" w:styleId="TOC3">
    <w:name w:val="toc 3"/>
    <w:basedOn w:val="Normal"/>
    <w:next w:val="Normal"/>
    <w:pPr>
      <w:ind w:hanging="0" w:start="480"/>
    </w:pPr>
    <w:rPr>
      <w:i/>
      <w:sz w:val="20"/>
    </w:rPr>
  </w:style>
  <w:style w:type="paragraph" w:styleId="TOC4">
    <w:name w:val="toc 4"/>
    <w:basedOn w:val="Normal"/>
    <w:next w:val="Normal"/>
    <w:pPr>
      <w:ind w:hanging="0" w:start="720"/>
    </w:pPr>
    <w:rPr>
      <w:sz w:val="18"/>
    </w:rPr>
  </w:style>
  <w:style w:type="paragraph" w:styleId="TOC5">
    <w:name w:val="toc 5"/>
    <w:basedOn w:val="Normal"/>
    <w:next w:val="Normal"/>
    <w:pPr>
      <w:ind w:hanging="0" w:start="960"/>
    </w:pPr>
    <w:rPr>
      <w:sz w:val="18"/>
    </w:rPr>
  </w:style>
  <w:style w:type="paragraph" w:styleId="TOC6">
    <w:name w:val="toc 6"/>
    <w:basedOn w:val="Normal"/>
    <w:next w:val="Normal"/>
    <w:pPr>
      <w:ind w:hanging="0" w:start="1200"/>
    </w:pPr>
    <w:rPr>
      <w:sz w:val="18"/>
    </w:rPr>
  </w:style>
  <w:style w:type="paragraph" w:styleId="TOC7">
    <w:name w:val="toc 7"/>
    <w:basedOn w:val="Normal"/>
    <w:next w:val="Normal"/>
    <w:pPr>
      <w:ind w:hanging="0" w:start="1440"/>
    </w:pPr>
    <w:rPr>
      <w:sz w:val="18"/>
    </w:rPr>
  </w:style>
  <w:style w:type="paragraph" w:styleId="TOC8">
    <w:name w:val="toc 8"/>
    <w:basedOn w:val="Normal"/>
    <w:next w:val="Normal"/>
    <w:pPr>
      <w:ind w:hanging="0" w:start="1680"/>
    </w:pPr>
    <w:rPr>
      <w:sz w:val="18"/>
    </w:rPr>
  </w:style>
  <w:style w:type="paragraph" w:styleId="TOC9">
    <w:name w:val="toc 9"/>
    <w:basedOn w:val="Normal"/>
    <w:next w:val="Normal"/>
    <w:pPr>
      <w:ind w:hanging="0" w:start="1920"/>
    </w:pPr>
    <w:rPr>
      <w:sz w:val="18"/>
    </w:rPr>
  </w:style>
  <w:style w:type="paragraph" w:styleId="FootnoteText">
    <w:name w:val="footnote text"/>
    <w:basedOn w:val="Normal"/>
    <w:pPr>
      <w:spacing w:before="240" w:after="0"/>
    </w:pPr>
    <w:rPr>
      <w:rFonts w:ascii="Courier New" w:hAnsi="Courier New"/>
    </w:rPr>
  </w:style>
  <w:style w:type="paragraph" w:styleId="BodyTextIndent3">
    <w:name w:val="Body Text Indent 3"/>
    <w:basedOn w:val="Normal"/>
    <w:qFormat/>
    <w:pPr>
      <w:widowControl w:val="false"/>
      <w:spacing w:lineRule="exact" w:line="240"/>
      <w:ind w:firstLine="720" w:start="720"/>
      <w:jc w:val="both"/>
    </w:pPr>
    <w:rPr>
      <w:sz w:val="22"/>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rFonts w:ascii="Courier New" w:hAnsi="Courier New"/>
    </w:rPr>
  </w:style>
  <w:style w:type="paragraph" w:styleId="Footer">
    <w:name w:val="footer"/>
    <w:basedOn w:val="Normal"/>
    <w:pPr>
      <w:tabs>
        <w:tab w:val="clear" w:pos="720"/>
        <w:tab w:val="center" w:pos="4320" w:leader="none"/>
        <w:tab w:val="right" w:pos="8640" w:leader="none"/>
      </w:tabs>
    </w:pPr>
    <w:rPr>
      <w:rFonts w:ascii="Courier New" w:hAnsi="Courier New"/>
    </w:rPr>
  </w:style>
  <w:style w:type="paragraph" w:styleId="Title">
    <w:name w:val="Title"/>
    <w:basedOn w:val="Normal"/>
    <w:qFormat/>
    <w:pPr>
      <w:ind w:end="180"/>
      <w:jc w:val="center"/>
    </w:pPr>
    <w:rPr>
      <w:rFonts w:ascii="Courier New" w:hAnsi="Courier New"/>
      <w:b/>
      <w:sz w:val="22"/>
      <w:u w:val="single"/>
    </w:rPr>
  </w:style>
  <w:style w:type="paragraph" w:styleId="BodyTextIndent">
    <w:name w:val="Body Text Indent"/>
    <w:basedOn w:val="Normal"/>
    <w:pPr>
      <w:spacing w:lineRule="atLeast" w:line="240"/>
      <w:ind w:firstLine="720"/>
      <w:jc w:val="both"/>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1297</Words>
  <CharactersWithSpaces>7393</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2001-03-16T17:36:00Z</dcterms:created>
  <dc:creator>Information Services</dc:creator>
  <dc:description/>
  <dc:language>en-CA</dc:language>
  <cp:lastModifiedBy/>
  <cp:lastPrinted>2001-03-16T12:49:00Z</cp:lastPrinted>
  <dcterms:modified xsi:type="dcterms:W3CDTF">2001-03-16T17:36:00Z</dcterms:modified>
  <cp:revision>2</cp:revision>
  <dc:subject/>
  <dc:title>test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For Help Call PC Support, x 4277</vt:lpwstr>
  </property>
</Properties>
</file>