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Heading"/>
        <w:rPr>
          <w:u w:val="single"/>
        </w:rPr>
      </w:pPr>
      <w:r>
        <w:rPr>
          <w:u w:val="single"/>
        </w:rPr>
      </w:r>
    </w:p>
    <w:p>
      <w:pPr>
        <w:pStyle w:val="Heading"/>
        <w:ind w:start="10800" w:end="0"/>
        <w:jc w:val="start"/>
        <w:rPr>
          <w:u w:val="single"/>
        </w:rPr>
      </w:pPr>
      <w:r>
        <w:rPr>
          <w:u w:val="single"/>
        </w:rPr>
        <w:t>CONFIDENTIAL</w:t>
      </w:r>
    </w:p>
    <w:p>
      <w:pPr>
        <w:pStyle w:val="Heading"/>
        <w:rPr/>
      </w:pPr>
      <w:r>
        <w:rPr/>
        <w:t>Summary of Proposed Compensation Arrangements</w:t>
      </w:r>
    </w:p>
    <w:p>
      <w:pPr>
        <w:pStyle w:val="Heading"/>
        <w:rPr>
          <w:b w:val="false"/>
          <w:bCs w:val="false"/>
        </w:rPr>
      </w:pPr>
      <w:r>
        <w:rPr/>
        <w:t>For Michael Capellas</w:t>
      </w:r>
    </w:p>
    <w:p>
      <w:pPr>
        <w:pStyle w:val="Heading"/>
        <w:rPr>
          <w:b w:val="false"/>
          <w:bCs w:val="false"/>
        </w:rPr>
      </w:pPr>
      <w:r>
        <w:rPr>
          <w:b w:val="false"/>
          <w:bCs w:val="false"/>
        </w:rPr>
      </w:r>
    </w:p>
    <w:tbl>
      <w:tblPr>
        <w:tblW w:w="13428" w:type="dxa"/>
        <w:jc w:val="start"/>
        <w:tblInd w:w="0" w:type="dxa"/>
        <w:tblLayout w:type="fixed"/>
        <w:tblCellMar>
          <w:top w:w="0" w:type="dxa"/>
          <w:start w:w="108" w:type="dxa"/>
          <w:bottom w:w="0" w:type="dxa"/>
          <w:end w:w="108" w:type="dxa"/>
        </w:tblCellMar>
      </w:tblPr>
      <w:tblGrid>
        <w:gridCol w:w="2628"/>
        <w:gridCol w:w="5040"/>
        <w:gridCol w:w="5760"/>
      </w:tblGrid>
      <w:tr>
        <w:trPr>
          <w:tblHeader w:val="true"/>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pPr>
            <w:r>
              <w:rPr/>
              <w:t>Issue</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pPr>
            <w:r>
              <w:rPr/>
              <w:t>Current Provisions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pPr>
            <w:r>
              <w:rPr/>
              <w:t>Recommendation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Term of Agreement</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3-year initial term, automatically renewed annually for successive one-year terms thereafter</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 change – begin new initial 3-year term with appointment as Chairman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Base Salary</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$1.3 million</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$1.6 million</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Annual Bonus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Target bonus of 2x base salary</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 change</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Restricted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Granted 200,000 shares under original agreement:</w:t>
            </w:r>
          </w:p>
          <w:p>
            <w:pPr>
              <w:pStyle w:val="Heading"/>
              <w:jc w:val="start"/>
              <w:rPr>
                <w:b w:val="false"/>
                <w:bCs w:val="false"/>
              </w:rPr>
            </w:pPr>
            <w:r>
              <w:rPr>
                <w:b w:val="false"/>
                <w:bCs w:val="false"/>
              </w:rPr>
            </w:r>
          </w:p>
          <w:p>
            <w:pPr>
              <w:pStyle w:val="Heading"/>
              <w:numPr>
                <w:ilvl w:val="0"/>
                <w:numId w:val="2"/>
              </w:numPr>
              <w:jc w:val="start"/>
              <w:rPr>
                <w:b w:val="false"/>
                <w:bCs w:val="false"/>
              </w:rPr>
            </w:pPr>
            <w:r>
              <w:rPr>
                <w:b w:val="false"/>
                <w:bCs w:val="false"/>
              </w:rPr>
              <w:t xml:space="preserve">Vest based on achievement of stock performance targets:  </w:t>
            </w:r>
          </w:p>
          <w:p>
            <w:pPr>
              <w:pStyle w:val="Heading"/>
              <w:numPr>
                <w:ilvl w:val="1"/>
                <w:numId w:val="2"/>
              </w:numPr>
              <w:jc w:val="start"/>
              <w:rPr>
                <w:b w:val="false"/>
                <w:bCs w:val="false"/>
              </w:rPr>
            </w:pPr>
            <w:r>
              <w:rPr>
                <w:b w:val="false"/>
                <w:bCs w:val="false"/>
              </w:rPr>
              <w:t>50,000 vest when stock hits $35</w:t>
            </w:r>
          </w:p>
          <w:p>
            <w:pPr>
              <w:pStyle w:val="Heading"/>
              <w:numPr>
                <w:ilvl w:val="1"/>
                <w:numId w:val="2"/>
              </w:numPr>
              <w:jc w:val="start"/>
              <w:rPr>
                <w:b w:val="false"/>
                <w:bCs w:val="false"/>
              </w:rPr>
            </w:pPr>
            <w:r>
              <w:rPr>
                <w:b w:val="false"/>
                <w:bCs w:val="false"/>
              </w:rPr>
              <w:t>an additional 50,000 when stock hits $40, and</w:t>
            </w:r>
          </w:p>
          <w:p>
            <w:pPr>
              <w:pStyle w:val="Heading"/>
              <w:numPr>
                <w:ilvl w:val="1"/>
                <w:numId w:val="2"/>
              </w:numPr>
              <w:jc w:val="start"/>
              <w:rPr>
                <w:b w:val="false"/>
                <w:bCs w:val="false"/>
              </w:rPr>
            </w:pPr>
            <w:r>
              <w:rPr>
                <w:b w:val="false"/>
                <w:bCs w:val="false"/>
              </w:rPr>
              <w:t>remaining 100,000 when stock hits $50</w:t>
            </w:r>
          </w:p>
          <w:p>
            <w:pPr>
              <w:pStyle w:val="Heading"/>
              <w:numPr>
                <w:ilvl w:val="0"/>
                <w:numId w:val="2"/>
              </w:numPr>
              <w:jc w:val="start"/>
              <w:rPr>
                <w:b w:val="false"/>
                <w:bCs w:val="false"/>
              </w:rPr>
            </w:pPr>
            <w:r>
              <w:rPr>
                <w:b w:val="false"/>
                <w:bCs w:val="false"/>
              </w:rPr>
              <w:t>Alternatively, will vest on July 22, 2004 if not vested before</w:t>
            </w:r>
          </w:p>
          <w:p>
            <w:pPr>
              <w:pStyle w:val="Heading"/>
              <w:numPr>
                <w:ilvl w:val="0"/>
                <w:numId w:val="2"/>
              </w:numPr>
              <w:jc w:val="start"/>
              <w:rPr>
                <w:b w:val="false"/>
                <w:bCs w:val="false"/>
              </w:rPr>
            </w:pPr>
            <w:r>
              <w:rPr>
                <w:b w:val="false"/>
                <w:bCs w:val="false"/>
              </w:rPr>
              <w:t>Vested on pro-rata basis if incurs “qualifying termination” (e.g., terminated without cause, resignation following certain changes in comp or responsibilities)</w:t>
            </w:r>
          </w:p>
          <w:p>
            <w:pPr>
              <w:pStyle w:val="Heading"/>
              <w:numPr>
                <w:ilvl w:val="0"/>
                <w:numId w:val="2"/>
              </w:numPr>
              <w:jc w:val="start"/>
              <w:rPr>
                <w:b w:val="false"/>
                <w:bCs w:val="false"/>
              </w:rPr>
            </w:pPr>
            <w:r>
              <w:rPr>
                <w:b w:val="false"/>
                <w:bCs w:val="false"/>
              </w:rPr>
              <w:t>Automatically vest upon change in control</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1999 grant governed by original terms</w:t>
            </w:r>
          </w:p>
          <w:p>
            <w:pPr>
              <w:pStyle w:val="Heading"/>
              <w:jc w:val="start"/>
              <w:rPr>
                <w:b w:val="false"/>
                <w:bCs w:val="false"/>
              </w:rPr>
            </w:pPr>
            <w:r>
              <w:rPr>
                <w:b w:val="false"/>
                <w:bCs w:val="false"/>
              </w:rPr>
            </w:r>
          </w:p>
          <w:p>
            <w:pPr>
              <w:pStyle w:val="Heading"/>
              <w:jc w:val="start"/>
              <w:rPr>
                <w:b w:val="false"/>
                <w:bCs w:val="false"/>
              </w:rPr>
            </w:pPr>
            <w:r>
              <w:rPr>
                <w:b w:val="false"/>
                <w:bCs w:val="false"/>
              </w:rPr>
              <w:t>Grant an additional 1,000,000 shares:</w:t>
            </w:r>
          </w:p>
          <w:p>
            <w:pPr>
              <w:pStyle w:val="Heading"/>
              <w:jc w:val="start"/>
              <w:rPr>
                <w:b w:val="false"/>
                <w:bCs w:val="false"/>
              </w:rPr>
            </w:pPr>
            <w:r>
              <w:rPr>
                <w:b w:val="false"/>
                <w:bCs w:val="false"/>
              </w:rPr>
            </w:r>
          </w:p>
          <w:p>
            <w:pPr>
              <w:pStyle w:val="Heading"/>
              <w:numPr>
                <w:ilvl w:val="0"/>
                <w:numId w:val="3"/>
              </w:numPr>
              <w:jc w:val="start"/>
              <w:rPr>
                <w:b w:val="false"/>
                <w:bCs w:val="false"/>
              </w:rPr>
            </w:pPr>
            <w:r>
              <w:rPr>
                <w:b w:val="false"/>
                <w:bCs w:val="false"/>
              </w:rPr>
              <w:t>500,000 vest as follows:  200,000 within one month of grant, and 100,000 upon each anniversary of that date for the next three years</w:t>
            </w:r>
          </w:p>
          <w:p>
            <w:pPr>
              <w:pStyle w:val="Heading"/>
              <w:numPr>
                <w:ilvl w:val="0"/>
                <w:numId w:val="3"/>
              </w:numPr>
              <w:jc w:val="start"/>
              <w:rPr>
                <w:b w:val="false"/>
                <w:bCs w:val="false"/>
              </w:rPr>
            </w:pPr>
            <w:r>
              <w:rPr>
                <w:b w:val="false"/>
                <w:bCs w:val="false"/>
              </w:rPr>
              <w:t xml:space="preserve">500,000 vest based only on achievement of performance criteria (to be determined) </w:t>
            </w:r>
          </w:p>
          <w:p>
            <w:pPr>
              <w:pStyle w:val="Heading"/>
              <w:numPr>
                <w:ilvl w:val="0"/>
                <w:numId w:val="3"/>
              </w:numPr>
              <w:jc w:val="start"/>
              <w:rPr>
                <w:b w:val="false"/>
                <w:bCs w:val="false"/>
              </w:rPr>
            </w:pPr>
            <w:r>
              <w:rPr>
                <w:b w:val="false"/>
                <w:bCs w:val="false"/>
              </w:rPr>
              <w:t>Additional shares which vest over time will fully vest upon qualifying termination, which, as described below, includes termination without cause, resignation for “good reason” (such as material reduction in pay or assignment of duties inconsistent with position), or involuntary termination for any reason/resignation for good reason following a change in control</w:t>
            </w:r>
          </w:p>
          <w:p>
            <w:pPr>
              <w:pStyle w:val="Heading"/>
              <w:numPr>
                <w:ilvl w:val="0"/>
                <w:numId w:val="3"/>
              </w:numPr>
              <w:jc w:val="start"/>
              <w:rPr>
                <w:b w:val="false"/>
                <w:bCs w:val="false"/>
              </w:rPr>
            </w:pPr>
            <w:r>
              <w:rPr>
                <w:b w:val="false"/>
                <w:bCs w:val="false"/>
              </w:rPr>
              <w:t>No special vesting of additional shares which vest based on performance (other than following a change in control, in which case will vest as a matter of plan terms)</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Stock Options/Long-Term Bonus Opportunities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Participates in annual plan, with grant size determined as follows:</w:t>
            </w:r>
          </w:p>
          <w:p>
            <w:pPr>
              <w:pStyle w:val="Heading"/>
              <w:jc w:val="start"/>
              <w:rPr>
                <w:b w:val="false"/>
                <w:bCs w:val="false"/>
              </w:rPr>
            </w:pPr>
            <w:r>
              <w:rPr>
                <w:b w:val="false"/>
                <w:bCs w:val="false"/>
              </w:rPr>
            </w:r>
          </w:p>
          <w:p>
            <w:pPr>
              <w:pStyle w:val="Heading"/>
              <w:numPr>
                <w:ilvl w:val="0"/>
                <w:numId w:val="1"/>
              </w:numPr>
              <w:jc w:val="start"/>
              <w:rPr>
                <w:b w:val="false"/>
                <w:bCs w:val="false"/>
              </w:rPr>
            </w:pPr>
            <w:r>
              <w:rPr>
                <w:b w:val="false"/>
                <w:bCs w:val="false"/>
              </w:rPr>
              <w:t>annually evaluate market competitive grant level through proxy and survey analysis of industry-competitive stock grant levels on a Black-Scholes basis and grant fair market value basis (number of shares times exercise price)</w:t>
            </w:r>
          </w:p>
          <w:p>
            <w:pPr>
              <w:pStyle w:val="Heading"/>
              <w:numPr>
                <w:ilvl w:val="0"/>
                <w:numId w:val="1"/>
              </w:numPr>
              <w:jc w:val="start"/>
              <w:rPr>
                <w:b w:val="false"/>
                <w:bCs w:val="false"/>
              </w:rPr>
            </w:pPr>
            <w:r>
              <w:rPr>
                <w:b w:val="false"/>
                <w:bCs w:val="false"/>
              </w:rPr>
              <w:t>convert to equivalent number of shares based on stock price at time of grant consideration</w:t>
            </w:r>
          </w:p>
          <w:p>
            <w:pPr>
              <w:pStyle w:val="Heading"/>
              <w:numPr>
                <w:ilvl w:val="0"/>
                <w:numId w:val="1"/>
              </w:numPr>
              <w:jc w:val="start"/>
              <w:rPr>
                <w:b w:val="false"/>
                <w:bCs w:val="false"/>
              </w:rPr>
            </w:pPr>
            <w:r>
              <w:rPr>
                <w:b w:val="false"/>
                <w:bCs w:val="false"/>
              </w:rPr>
              <w:t>HR Committee will be provided with a range of options based on market competitive data</w:t>
            </w:r>
          </w:p>
          <w:p>
            <w:pPr>
              <w:pStyle w:val="Heading"/>
              <w:jc w:val="start"/>
              <w:rPr>
                <w:b w:val="false"/>
                <w:bCs w:val="false"/>
              </w:rPr>
            </w:pPr>
            <w:r>
              <w:rPr>
                <w:b w:val="false"/>
                <w:bCs w:val="false"/>
              </w:rPr>
            </w:r>
          </w:p>
          <w:p>
            <w:pPr>
              <w:pStyle w:val="Heading"/>
              <w:jc w:val="start"/>
              <w:rPr>
                <w:b w:val="false"/>
                <w:bCs w:val="false"/>
              </w:rPr>
            </w:pPr>
            <w:r>
              <w:rPr>
                <w:b w:val="false"/>
                <w:bCs w:val="false"/>
              </w:rPr>
              <w:t>Options will continue to vest over any separation pay period – may exercise until earlier of (a) grant expiration or (b) one year anniversary of final separation payment (giving executive 3 years from separation to exercise, but never longer than term of original grant)</w:t>
            </w:r>
          </w:p>
          <w:p>
            <w:pPr>
              <w:pStyle w:val="Heading"/>
              <w:jc w:val="start"/>
              <w:rPr>
                <w:b w:val="false"/>
                <w:bCs w:val="false"/>
              </w:rPr>
            </w:pPr>
            <w:r>
              <w:rPr>
                <w:b w:val="false"/>
                <w:bCs w:val="false"/>
              </w:rPr>
            </w:r>
          </w:p>
          <w:p>
            <w:pPr>
              <w:pStyle w:val="Heading"/>
              <w:jc w:val="start"/>
              <w:rPr>
                <w:b w:val="false"/>
                <w:bCs w:val="false"/>
              </w:rPr>
            </w:pPr>
            <w:r>
              <w:rPr>
                <w:b w:val="false"/>
                <w:bCs w:val="false"/>
              </w:rPr>
              <w:t>Long-Term Bonus Plan currently provides for credit to “bonus bank” of up to 50% of executive’s annual bonus, with potential payout of up to 30% of cumulative balance of that “bonus bank” on an annual basis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Total target long-term incentive opportunity on annual basis (including stock options and other long-term incentives) valued in range of 7-10x base salary using Black-Scholes model – note that the initial term of this agreement is three years, with successive renewal periods of one-year</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No change on special vesting provisions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Current Long-Term Bonus plan under review – anticipate implementing alternative plan</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Loan to purchase Compaq stock</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$5,000,000 loan at market rate, with principal and interest payable on earlier of July 22, 2004 or termination of employment</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Forgive over 3-year period (1/3 per year) beginning on anniversary date of agreement – fully forgiven upon qualifying termination, as defined below</w:t>
            </w:r>
          </w:p>
          <w:p>
            <w:pPr>
              <w:pStyle w:val="Heading"/>
              <w:jc w:val="start"/>
              <w:rPr>
                <w:b w:val="false"/>
                <w:bCs w:val="false"/>
              </w:rPr>
            </w:pPr>
            <w:r>
              <w:rPr>
                <w:b w:val="false"/>
                <w:bCs w:val="false"/>
              </w:rPr>
            </w:r>
          </w:p>
          <w:p>
            <w:pPr>
              <w:pStyle w:val="Heading"/>
              <w:jc w:val="start"/>
              <w:rPr>
                <w:b w:val="false"/>
                <w:bCs w:val="false"/>
              </w:rPr>
            </w:pPr>
            <w:r>
              <w:rPr>
                <w:b w:val="false"/>
                <w:bCs w:val="false"/>
              </w:rPr>
              <w:t xml:space="preserve">May tender shares to satisfy withholding obligation – will be treated, for SEC reporting purposes, as a sale of these shares to Compaq </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Restrictive Covenants</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Non-competition and non-solicitation of customers and employees for severance pay period (24 months)</w:t>
            </w:r>
          </w:p>
          <w:p>
            <w:pPr>
              <w:pStyle w:val="Heading"/>
              <w:jc w:val="start"/>
              <w:rPr>
                <w:b w:val="false"/>
                <w:bCs w:val="false"/>
              </w:rPr>
            </w:pPr>
            <w:r>
              <w:rPr>
                <w:b w:val="false"/>
                <w:bCs w:val="false"/>
              </w:rPr>
            </w:r>
          </w:p>
          <w:p>
            <w:pPr>
              <w:pStyle w:val="Heading"/>
              <w:jc w:val="start"/>
              <w:rPr>
                <w:b w:val="false"/>
                <w:bCs w:val="false"/>
              </w:rPr>
            </w:pPr>
            <w:r>
              <w:rPr>
                <w:b w:val="false"/>
                <w:bCs w:val="false"/>
              </w:rPr>
              <w:t>Extensive non-disparagement provisions with substantial liquidated damages</w:t>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Non-competition and non-solicitation provisions for severance pay period</w:t>
            </w:r>
          </w:p>
        </w:tc>
      </w:tr>
      <w:tr>
        <w:trPr/>
        <w:tc>
          <w:tcPr>
            <w:tcW w:w="2628"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Termination</w:t>
            </w:r>
          </w:p>
        </w:tc>
        <w:tc>
          <w:tcPr>
            <w:tcW w:w="504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Severance of 2x base and prior year annual bonus in event of qualifying termination – 3x in event of qualifying termination following a change in control – payable 25% up front and remaining 75% over severance pay period of 24 months</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No severance if terminates due to death or disability</w:t>
            </w:r>
          </w:p>
          <w:p>
            <w:pPr>
              <w:pStyle w:val="Heading"/>
              <w:jc w:val="start"/>
              <w:rPr>
                <w:b w:val="false"/>
                <w:bCs w:val="false"/>
              </w:rPr>
            </w:pPr>
            <w:r>
              <w:rPr>
                <w:b w:val="false"/>
                <w:bCs w:val="false"/>
              </w:rPr>
            </w:r>
          </w:p>
          <w:p>
            <w:pPr>
              <w:pStyle w:val="Heading"/>
              <w:jc w:val="start"/>
              <w:rPr>
                <w:b w:val="false"/>
                <w:bCs w:val="false"/>
              </w:rPr>
            </w:pPr>
            <w:r>
              <w:rPr>
                <w:b w:val="false"/>
                <w:bCs w:val="false"/>
              </w:rPr>
            </w:r>
          </w:p>
          <w:p>
            <w:pPr>
              <w:pStyle w:val="Heading"/>
              <w:jc w:val="start"/>
              <w:rPr>
                <w:b w:val="false"/>
                <w:bCs w:val="false"/>
              </w:rPr>
            </w:pPr>
            <w:r>
              <w:rPr>
                <w:b w:val="false"/>
                <w:bCs w:val="false"/>
              </w:rPr>
              <w:t>Payment of severance benefits contingent upon execution of release</w:t>
            </w:r>
          </w:p>
          <w:p>
            <w:pPr>
              <w:pStyle w:val="Heading"/>
              <w:jc w:val="start"/>
              <w:rPr>
                <w:b w:val="false"/>
                <w:bCs w:val="false"/>
              </w:rPr>
            </w:pPr>
            <w:r>
              <w:rPr>
                <w:b w:val="false"/>
                <w:bCs w:val="false"/>
              </w:rPr>
            </w:r>
          </w:p>
        </w:tc>
        <w:tc>
          <w:tcPr>
            <w:tcW w:w="5760" w:type="dxa"/>
            <w:tcBorders>
              <w:top w:val="single" w:sz="4" w:space="0" w:color="000000"/>
              <w:start w:val="single" w:sz="4" w:space="0" w:color="000000"/>
              <w:bottom w:val="single" w:sz="4" w:space="0" w:color="000000"/>
              <w:end w:val="single" w:sz="4" w:space="0" w:color="000000"/>
            </w:tcBorders>
          </w:tcPr>
          <w:p>
            <w:pPr>
              <w:pStyle w:val="Heading"/>
              <w:jc w:val="start"/>
              <w:rPr>
                <w:b w:val="false"/>
                <w:bCs w:val="false"/>
              </w:rPr>
            </w:pPr>
            <w:r>
              <w:rPr>
                <w:b w:val="false"/>
                <w:bCs w:val="false"/>
              </w:rPr>
              <w:t>Severance of 3x base and target annual bonus in event of qualifying termination, which includes termination without cause, resignation for “good reason” (such as material reduction in pay or assignment of duties inconsistent with position of CEO), or involuntary termination for any reason/resignation for good reason following a change in control</w:t>
            </w:r>
          </w:p>
          <w:p>
            <w:pPr>
              <w:pStyle w:val="Heading"/>
              <w:jc w:val="start"/>
              <w:rPr>
                <w:b w:val="false"/>
                <w:bCs w:val="false"/>
              </w:rPr>
            </w:pPr>
            <w:r>
              <w:rPr>
                <w:b w:val="false"/>
                <w:bCs w:val="false"/>
              </w:rPr>
            </w:r>
          </w:p>
          <w:p>
            <w:pPr>
              <w:pStyle w:val="Heading"/>
              <w:jc w:val="start"/>
              <w:rPr>
                <w:b w:val="false"/>
                <w:bCs w:val="false"/>
              </w:rPr>
            </w:pPr>
            <w:r>
              <w:rPr>
                <w:b w:val="false"/>
                <w:bCs w:val="false"/>
              </w:rPr>
              <w:t>Severance payment of 1.5x base and target annual bonus in event of termination due to death or disability</w:t>
            </w:r>
          </w:p>
          <w:p>
            <w:pPr>
              <w:pStyle w:val="Heading"/>
              <w:jc w:val="start"/>
              <w:rPr>
                <w:b w:val="false"/>
                <w:bCs w:val="false"/>
              </w:rPr>
            </w:pPr>
            <w:r>
              <w:rPr>
                <w:b w:val="false"/>
                <w:bCs w:val="false"/>
              </w:rPr>
            </w:r>
          </w:p>
          <w:p>
            <w:pPr>
              <w:pStyle w:val="Heading"/>
              <w:jc w:val="start"/>
              <w:rPr>
                <w:b w:val="false"/>
                <w:bCs w:val="false"/>
              </w:rPr>
            </w:pPr>
            <w:r>
              <w:rPr>
                <w:b w:val="false"/>
                <w:bCs w:val="false"/>
              </w:rPr>
              <w:t>Payment of severance benefits contingent upon execution of release</w:t>
            </w:r>
          </w:p>
        </w:tc>
      </w:tr>
    </w:tbl>
    <w:p>
      <w:pPr>
        <w:pStyle w:val="Normal"/>
        <w:rPr/>
      </w:pPr>
      <w:r>
        <w:rPr/>
      </w:r>
    </w:p>
    <w:sectPr>
      <w:type w:val="nextPage"/>
      <w:pgSz w:orient="landscape" w:w="15840" w:h="122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3"/>
      <w:numFmt w:val="bullet"/>
      <w:lvlText w:val="-"/>
      <w:lvlJc w:val="start"/>
      <w:pPr>
        <w:tabs>
          <w:tab w:val="num" w:pos="1080"/>
        </w:tabs>
        <w:ind w:start="1080" w:hanging="360"/>
      </w:pPr>
      <w:rPr>
        <w:rFonts w:ascii="Times New Roman" w:hAnsi="Times New Roman" w:cs="Times New Roman" w:hint="default"/>
      </w:rPr>
    </w:lvl>
    <w:lvl w:ilvl="2">
      <w:start w:val="1"/>
      <w:numFmt w:val="bullet"/>
      <w:lvlText w:val=""/>
      <w:lvlJc w:val="start"/>
      <w:pPr>
        <w:tabs>
          <w:tab w:val="num" w:pos="1800"/>
        </w:tabs>
        <w:ind w:start="1800" w:hanging="360"/>
      </w:pPr>
      <w:rPr>
        <w:rFonts w:ascii="Wingdings" w:hAnsi="Wingdings" w:cs="Wingdings" w:hint="default"/>
      </w:rPr>
    </w:lvl>
    <w:lvl w:ilvl="3">
      <w:start w:val="1"/>
      <w:numFmt w:val="bullet"/>
      <w:lvlText w:val=""/>
      <w:lvlJc w:val="start"/>
      <w:pPr>
        <w:tabs>
          <w:tab w:val="num" w:pos="2520"/>
        </w:tabs>
        <w:ind w:start="2520" w:hanging="360"/>
      </w:pPr>
      <w:rPr>
        <w:rFonts w:ascii="Symbol" w:hAnsi="Symbol" w:cs="Symbol" w:hint="default"/>
      </w:rPr>
    </w:lvl>
    <w:lvl w:ilvl="4">
      <w:start w:val="1"/>
      <w:numFmt w:val="bullet"/>
      <w:lvlText w:val="o"/>
      <w:lvlJc w:val="start"/>
      <w:pPr>
        <w:tabs>
          <w:tab w:val="num" w:pos="3240"/>
        </w:tabs>
        <w:ind w:start="3240" w:hanging="360"/>
      </w:pPr>
      <w:rPr>
        <w:rFonts w:ascii="Courier New" w:hAnsi="Courier New" w:cs="Courier New" w:hint="default"/>
      </w:rPr>
    </w:lvl>
    <w:lvl w:ilvl="5">
      <w:start w:val="1"/>
      <w:numFmt w:val="bullet"/>
      <w:lvlText w:val=""/>
      <w:lvlJc w:val="start"/>
      <w:pPr>
        <w:tabs>
          <w:tab w:val="num" w:pos="3960"/>
        </w:tabs>
        <w:ind w:start="3960" w:hanging="360"/>
      </w:pPr>
      <w:rPr>
        <w:rFonts w:ascii="Wingdings" w:hAnsi="Wingdings" w:cs="Wingdings" w:hint="default"/>
      </w:rPr>
    </w:lvl>
    <w:lvl w:ilvl="6">
      <w:start w:val="1"/>
      <w:numFmt w:val="bullet"/>
      <w:lvlText w:val=""/>
      <w:lvlJc w:val="start"/>
      <w:pPr>
        <w:tabs>
          <w:tab w:val="num" w:pos="4680"/>
        </w:tabs>
        <w:ind w:start="4680" w:hanging="360"/>
      </w:pPr>
      <w:rPr>
        <w:rFonts w:ascii="Symbol" w:hAnsi="Symbol" w:cs="Symbol" w:hint="default"/>
      </w:rPr>
    </w:lvl>
    <w:lvl w:ilvl="7">
      <w:start w:val="1"/>
      <w:numFmt w:val="bullet"/>
      <w:lvlText w:val="o"/>
      <w:lvlJc w:val="start"/>
      <w:pPr>
        <w:tabs>
          <w:tab w:val="num" w:pos="5400"/>
        </w:tabs>
        <w:ind w:start="5400" w:hanging="360"/>
      </w:pPr>
      <w:rPr>
        <w:rFonts w:ascii="Courier New" w:hAnsi="Courier New" w:cs="Courier New" w:hint="default"/>
      </w:rPr>
    </w:lvl>
    <w:lvl w:ilvl="8">
      <w:start w:val="1"/>
      <w:numFmt w:val="bullet"/>
      <w:lvlText w:val=""/>
      <w:lvlJc w:val="start"/>
      <w:pPr>
        <w:tabs>
          <w:tab w:val="num" w:pos="6120"/>
        </w:tabs>
        <w:ind w:start="6120" w:hanging="360"/>
      </w:pPr>
      <w:rPr>
        <w:rFonts w:ascii="Wingdings" w:hAnsi="Wingdings" w:cs="Wingdings"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Times New Roman" w:hAnsi="Times New Roman" w:eastAsia="Times New Roman" w:cs="Times New Roman"/>
    </w:rPr>
  </w:style>
  <w:style w:type="character" w:styleId="WW8Num3z2">
    <w:name w:val="WW8Num3z2"/>
    <w:qFormat/>
    <w:rPr>
      <w:rFonts w:ascii="Wingdings" w:hAnsi="Wingdings" w:cs="Wingdings"/>
    </w:rPr>
  </w:style>
  <w:style w:type="character" w:styleId="WW8Num3z4">
    <w:name w:val="WW8Num3z4"/>
    <w:qFormat/>
    <w:rPr>
      <w:rFonts w:ascii="Courier New" w:hAnsi="Courier New" w:cs="Courier New"/>
    </w:rPr>
  </w:style>
  <w:style w:type="character" w:styleId="WW8Num4z0">
    <w:name w:val="WW8Num4z0"/>
    <w:qFormat/>
    <w:rPr>
      <w:rFonts w:ascii="Symbol" w:hAnsi="Symbol" w:cs="Symbol"/>
    </w:rPr>
  </w:style>
  <w:style w:type="character" w:styleId="WW8Num4z1">
    <w:name w:val="WW8Num4z1"/>
    <w:qFormat/>
    <w:rPr>
      <w:rFonts w:ascii="Times New Roman" w:hAnsi="Times New Roman" w:eastAsia="Times New Roman" w:cs="Times New Roman"/>
    </w:rPr>
  </w:style>
  <w:style w:type="character" w:styleId="WW8Num4z2">
    <w:name w:val="WW8Num4z2"/>
    <w:qFormat/>
    <w:rPr>
      <w:rFonts w:ascii="Wingdings" w:hAnsi="Wingdings" w:cs="Wingdings"/>
    </w:rPr>
  </w:style>
  <w:style w:type="character" w:styleId="WW8Num4z4">
    <w:name w:val="WW8Num4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2000-10-17T18:04:00Z</dcterms:created>
  <dc:creator>Wanda Hollaway</dc:creator>
  <dc:description/>
  <dc:language>en-CA</dc:language>
  <cp:lastModifiedBy>Wanda Hollaway</cp:lastModifiedBy>
  <cp:lastPrinted>2000-09-27T09:57:00Z</cp:lastPrinted>
  <dcterms:modified xsi:type="dcterms:W3CDTF">2000-10-17T18:04:00Z</dcterms:modified>
  <cp:revision>2</cp:revision>
  <dc:subject/>
  <dc:title>CONFIDENTIAL</dc:title>
</cp:coreProperties>
</file>