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i/>
          <w:i/>
          <w:iCs/>
        </w:rPr>
      </w:pPr>
      <w:r>
        <w:rPr>
          <w:rFonts w:cs="Times New Roman" w:ascii="Times New Roman" w:hAnsi="Times New Roman"/>
          <w:i/>
          <w:iCs/>
        </w:rPr>
        <w:t>Exhibit A</w:t>
      </w:r>
    </w:p>
    <w:p>
      <w:pPr>
        <w:pStyle w:val="Heading1"/>
        <w:ind w:hanging="0" w:start="0"/>
        <w:jc w:val="center"/>
        <w:rPr>
          <w:rFonts w:ascii="Times New Roman" w:hAnsi="Times New Roman" w:cs="Times New Roman"/>
          <w:i/>
          <w:i/>
          <w:iCs/>
        </w:rPr>
      </w:pPr>
      <w:r>
        <w:rPr>
          <w:rFonts w:cs="Times New Roman" w:ascii="Times New Roman" w:hAnsi="Times New Roman"/>
          <w:i/>
          <w:iCs/>
        </w:rPr>
        <w:t>Explanation of Assumptions and Model Used in Analysis</w:t>
      </w:r>
    </w:p>
    <w:p>
      <w:pPr>
        <w:pStyle w:val="Heading4"/>
        <w:ind w:hanging="0" w:start="0"/>
        <w:rPr>
          <w:rFonts w:ascii="Times New Roman" w:hAnsi="Times New Roman" w:cs="Times New Roman"/>
          <w:i w:val="false"/>
          <w:i w:val="false"/>
          <w:iCs/>
        </w:rPr>
      </w:pPr>
      <w:r>
        <w:rPr>
          <w:rFonts w:cs="Times New Roman" w:ascii="Times New Roman" w:hAnsi="Times New Roman"/>
          <w:i w:val="false"/>
          <w:iCs/>
        </w:rPr>
      </w:r>
    </w:p>
    <w:p>
      <w:pPr>
        <w:pStyle w:val="Heading2"/>
        <w:ind w:hanging="0" w:start="0"/>
        <w:rPr>
          <w:rFonts w:ascii="Times New Roman" w:hAnsi="Times New Roman" w:cs="Times New Roman"/>
        </w:rPr>
      </w:pPr>
      <w:r>
        <w:rPr>
          <w:rFonts w:cs="Times New Roman" w:ascii="Times New Roman" w:hAnsi="Times New Roman"/>
        </w:rPr>
        <w:t xml:space="preserve">Discount Rate </w:t>
      </w:r>
    </w:p>
    <w:p>
      <w:pPr>
        <w:pStyle w:val="Normal"/>
        <w:ind w:firstLine="720" w:end="0"/>
        <w:rPr>
          <w:rFonts w:ascii="Times New Roman" w:hAnsi="Times New Roman" w:cs="Times New Roman"/>
        </w:rPr>
      </w:pPr>
      <w:r>
        <w:rPr>
          <w:rFonts w:cs="Times New Roman" w:ascii="Times New Roman" w:hAnsi="Times New Roman"/>
        </w:rPr>
        <w:t>We estimated the appropriate discount rate for the purposes of calculating the project’s net present value calculation by using historical data of municipal bonds or general obligation bonds.  We also used this methodology to estimate the coupon payment on the bonds issued to finance stadium construction.</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We estimated our discount rate using market data reported on Bloomberg for existing debt yields on April 1, 1997, the date when King County actually issued bonds to finance their stadium.  The 30 year bond was yielding 7.082% and the ten year was yielding 6.868%. Using the average of these two points, we are able to estimate that 6.97% is the interpolated yield for a 20-year bond. This rate is a taxable risk free rate.  Since King County is using non-taxable financing, we must determine the non-taxable risk free rate. Taking an average of the five different federal tax bracket rates, 15%, 28%, 31%, 36%, and 39.6%, we determined the average tax rate is 29.9%. State tax rate was not taken into account since Washington doesn’t have personal income tax. In order to convert the taxable risk free rate into a non-taxable risk free rate, we must multiply 6.97% by 70.01%. The resulting non-taxable risk free rate is 4.88%.</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To determine the risk premium rate, we observed the historical yields for the Bloomberg 20 year AA1 G.O. Municipal Bond Yield composite, the Bloomberg 20 year Washington State G.O. Bond Yield, as well as the Bloomberg 20 year New Jersey G.O. Bond Yield. All three of these yields are for bonds with the same Moody’s financial ratings as King County, AA1. Unfortunately on April 1, 1997, Bloomberg didn’t have any data for Washington State G.O. bonds. However using data points from 1998, the Washington G.O. bond composite had a yield three basis points less than the Bloomberg 20 year AA1 G.O. Municipal Bond Yield composite.</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 xml:space="preserve">A composite G.O. bond using other municipalities yielded 5.73 percent in 1997.   A general-purpose bond in New Jersey yielded 5.58 during the same time frame.  In May, 1998, Washington G.O. bonds were trading at three basis points below the composite bond and 10 basis points above the New Jersey bond.  Assuming the Kings County bonds were trading at 3 basis points below the composite and ten basis points above the New Jersey bond in 1997 also, a discount rate of 5.70 percent was used to determine the cost of capital.  </w:t>
      </w:r>
    </w:p>
    <w:p>
      <w:pPr>
        <w:pStyle w:val="Normal"/>
        <w:rPr>
          <w:rFonts w:ascii="Times New Roman" w:hAnsi="Times New Roman" w:cs="Times New Roman"/>
        </w:rPr>
      </w:pPr>
      <w:r>
        <w:rPr>
          <w:rFonts w:cs="Times New Roman" w:ascii="Times New Roman" w:hAnsi="Times New Roman"/>
        </w:rPr>
        <w:t xml:space="preserve"> </w:t>
      </w:r>
    </w:p>
    <w:p>
      <w:pPr>
        <w:pStyle w:val="Normal"/>
        <w:ind w:firstLine="720" w:end="0"/>
        <w:rPr>
          <w:rFonts w:ascii="Times New Roman" w:hAnsi="Times New Roman" w:cs="Times New Roman"/>
        </w:rPr>
      </w:pPr>
      <w:r>
        <w:rPr>
          <w:rFonts w:cs="Times New Roman" w:ascii="Times New Roman" w:hAnsi="Times New Roman"/>
        </w:rPr>
        <w:t>Comparing the tax-free, risk-free rate of 4.88 to 5.70 yields a risk premium of 90 basis points.  Our estimate for the discount rate therefore carries a risk premium that exceeds the 50 basis point risk premium estimated by Smith Barney.  Thus, based on our analysis, we conclude that Smith Barney underestimated the risk premium on the bonds.</w:t>
      </w:r>
    </w:p>
    <w:p>
      <w:pPr>
        <w:pStyle w:val="Heading2"/>
        <w:ind w:hanging="0" w:start="0"/>
        <w:rPr>
          <w:rFonts w:ascii="Times New Roman" w:hAnsi="Times New Roman" w:cs="Times New Roman"/>
        </w:rPr>
      </w:pPr>
      <w:r>
        <w:rPr>
          <w:rFonts w:cs="Times New Roman" w:ascii="Times New Roman" w:hAnsi="Times New Roman"/>
        </w:rPr>
        <w:t xml:space="preserve">Timing </w:t>
      </w:r>
    </w:p>
    <w:p>
      <w:pPr>
        <w:pStyle w:val="Heading2"/>
        <w:ind w:firstLine="720" w:start="0" w:end="0"/>
        <w:rPr>
          <w:rFonts w:ascii="Times New Roman" w:hAnsi="Times New Roman" w:cs="Times New Roman"/>
          <w:b w:val="false"/>
          <w:bCs/>
          <w:i w:val="false"/>
          <w:i w:val="false"/>
          <w:iCs/>
        </w:rPr>
      </w:pPr>
      <w:r>
        <w:rPr>
          <w:rFonts w:cs="Times New Roman" w:ascii="Times New Roman" w:hAnsi="Times New Roman"/>
          <w:b w:val="false"/>
          <w:bCs/>
          <w:i w:val="false"/>
          <w:iCs/>
        </w:rPr>
        <w:t>It is assumed that construction starts in 7/1/97 and ends in 12/1/99 when roof construction is complete.</w:t>
      </w:r>
    </w:p>
    <w:p>
      <w:pPr>
        <w:pStyle w:val="Heading2"/>
        <w:ind w:hanging="0" w:start="0"/>
        <w:rPr>
          <w:rFonts w:ascii="Times New Roman" w:hAnsi="Times New Roman" w:cs="Times New Roman"/>
        </w:rPr>
      </w:pPr>
      <w:r>
        <w:rPr>
          <w:rFonts w:cs="Times New Roman" w:ascii="Times New Roman" w:hAnsi="Times New Roman"/>
        </w:rPr>
        <w:t xml:space="preserve">Cost-basis </w:t>
      </w:r>
    </w:p>
    <w:p>
      <w:pPr>
        <w:pStyle w:val="Normal"/>
        <w:ind w:firstLine="720" w:end="0"/>
        <w:rPr>
          <w:rFonts w:ascii="Times New Roman" w:hAnsi="Times New Roman" w:cs="Times New Roman"/>
        </w:rPr>
      </w:pPr>
      <w:r>
        <w:rPr>
          <w:rFonts w:cs="Times New Roman" w:ascii="Times New Roman" w:hAnsi="Times New Roman"/>
        </w:rPr>
        <w:t>All numbers are in 1997 dollars</w:t>
      </w:r>
    </w:p>
    <w:p>
      <w:pPr>
        <w:pStyle w:val="Heading2"/>
        <w:ind w:hanging="0" w:start="0"/>
        <w:rPr>
          <w:rFonts w:ascii="Times New Roman" w:hAnsi="Times New Roman" w:cs="Times New Roman"/>
        </w:rPr>
      </w:pPr>
      <w:r>
        <w:rPr>
          <w:rFonts w:cs="Times New Roman" w:ascii="Times New Roman" w:hAnsi="Times New Roman"/>
        </w:rPr>
        <w:t>Elasticity</w:t>
      </w:r>
    </w:p>
    <w:p>
      <w:pPr>
        <w:pStyle w:val="Normal"/>
        <w:ind w:firstLine="720" w:end="0"/>
        <w:rPr>
          <w:rFonts w:ascii="Times New Roman" w:hAnsi="Times New Roman" w:cs="Times New Roman"/>
        </w:rPr>
      </w:pPr>
      <w:r>
        <w:rPr>
          <w:rFonts w:cs="Times New Roman" w:ascii="Times New Roman" w:hAnsi="Times New Roman"/>
        </w:rPr>
        <w:t>Elasticity was determined using price attendance data adjusted for an inflation rate of three percent.  Data from strike years, 1994 and 1995 were eliminated.  Data from 1996 were also eliminated due poor performance of the team and because it was a post strike year.</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Elasticity of demand was calculated with the remaining data and a linear regression yields an elasticity of 0.797.  This means for a one percent increase in price, the quantity attending the game decreases by 0.797 percent.</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 xml:space="preserve">Based on this estimate of ticket price elasticity, the county would be unsuccessful recovering the cost of bonds to build the stadium with a ticket tax. As the net present value calculation illustrates in exhibit B, the amount of taxes needed to cover the short fall is in the 50-60 percent range.  For a 50 percent increase in price, attendance would decrease by 40 percent, which would in turn decrease sales by 40%.  </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 xml:space="preserve">The county plans to cover bond payments with taxes from ticket sales, restaurants, car rentals and sales tax.  Under this scheme, approximately 14 percent of the total tax revenues available to repay the bonds comes from a 10% tax on ticket sales.  The attendance numbers quoted in Exhibit B of the problem statement include a 10 percent ticket tax.  It is assumed that attendance projections include the effect the 10% tax on ticket sales. </w:t>
      </w:r>
    </w:p>
    <w:p>
      <w:pPr>
        <w:pStyle w:val="Normal"/>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 xml:space="preserve">The data show that ticket sales, and thus tax revenues from ticket sales, are particularly sensitive to the number of games won in a given season.  It is clear from the historical attendance data given in Exhibit C of the problem statement that attendance numbers drop when the Mariners have a losing season.  This correlation between team performance and attendance only increases the likelihood that the County will not be able to service debt payments on the bonds. </w:t>
      </w:r>
    </w:p>
    <w:p>
      <w:pPr>
        <w:pStyle w:val="Heading2"/>
        <w:ind w:hanging="0" w:start="0"/>
        <w:rPr>
          <w:rFonts w:ascii="Times New Roman" w:hAnsi="Times New Roman" w:cs="Times New Roman"/>
        </w:rPr>
      </w:pPr>
      <w:r>
        <w:rPr>
          <w:rFonts w:cs="Times New Roman" w:ascii="Times New Roman" w:hAnsi="Times New Roman"/>
        </w:rPr>
        <w:t>Comparison of importance of elasticity relative to discount rate</w:t>
      </w:r>
    </w:p>
    <w:p>
      <w:pPr>
        <w:pStyle w:val="Normal"/>
        <w:rPr>
          <w:rFonts w:ascii="Times New Roman" w:hAnsi="Times New Roman" w:cs="Times New Roman"/>
        </w:rPr>
      </w:pPr>
      <w:r>
        <w:rPr>
          <w:rFonts w:cs="Times New Roman" w:ascii="Times New Roman" w:hAnsi="Times New Roman"/>
        </w:rPr>
      </w:r>
    </w:p>
    <w:p>
      <w:pPr>
        <w:pStyle w:val="Normal"/>
        <w:ind w:firstLine="360" w:end="0"/>
        <w:rPr>
          <w:rFonts w:ascii="Times New Roman" w:hAnsi="Times New Roman" w:cs="Times New Roman"/>
        </w:rPr>
      </w:pPr>
      <w:r>
        <w:rPr>
          <w:rFonts w:cs="Times New Roman" w:ascii="Times New Roman" w:hAnsi="Times New Roman"/>
        </w:rPr>
        <w:t>A sensitivity analysis of the present value of future ticket sales to the discount rate and the elasticity is shown in Exhibit E.  These analyses show the sensitivity of discount rate and elasticity to be similar.  The rate variation keeping elasticity constant at (0.797?) yields a range in sales of 11.9%.  Elasticity variation keeping the rate constant at (XX?) yields a range in sales of XX%.  Since the sensitivities are similar, it would be prudent for Kings County to focus on the interest rate for the following reasons.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more accurate estimate of the discount is attainable because there is more information on discount rates available compared to coefficients of elasticity</w:t>
      </w:r>
    </w:p>
    <w:p>
      <w:pPr>
        <w:pStyle w:val="Normal"/>
        <w:numPr>
          <w:ilvl w:val="0"/>
          <w:numId w:val="2"/>
        </w:numPr>
        <w:rPr>
          <w:rFonts w:ascii="Times New Roman" w:hAnsi="Times New Roman" w:cs="Times New Roman"/>
        </w:rPr>
      </w:pPr>
      <w:r>
        <w:rPr>
          <w:rFonts w:cs="Times New Roman" w:ascii="Times New Roman" w:hAnsi="Times New Roman"/>
        </w:rPr>
        <w:t>The elasticity number is confounded by more factors than price.  For example, attendance appears to be highly correlated with team performance and strikes</w:t>
      </w:r>
    </w:p>
    <w:p>
      <w:pPr>
        <w:pStyle w:val="Heading2"/>
        <w:spacing w:before="240" w:after="60"/>
        <w:ind w:hanging="0" w:start="0"/>
        <w:rPr>
          <w:rFonts w:ascii="Times New Roman" w:hAnsi="Times New Roman" w:cs="Times New Roman"/>
        </w:rPr>
      </w:pPr>
      <w:r>
        <w:rPr>
          <w:rFonts w:cs="Times New Roman" w:ascii="Times New Roman" w:hAnsi="Times New Roman"/>
        </w:rPr>
        <w:t>Cash Flow Analysis - Jackie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outlineLvl w:val="3"/>
    </w:pPr>
    <w:rPr>
      <w:i/>
    </w:rPr>
  </w:style>
  <w:style w:type="character" w:styleId="WW8Num2z0">
    <w:name w:val="WW8Num2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2000-12-03T16:33:00Z</dcterms:created>
  <dc:creator>Kimberly Kupiecki</dc:creator>
  <dc:description/>
  <dc:language>en-CA</dc:language>
  <cp:lastModifiedBy>jdasovic</cp:lastModifiedBy>
  <dcterms:modified xsi:type="dcterms:W3CDTF">2000-12-05T05:33:00Z</dcterms:modified>
  <cp:revision>54</cp:revision>
  <dc:subject/>
  <dc:title>Explanation of Assumptions</dc:title>
</cp:coreProperties>
</file>